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65" w:rsidRDefault="00FC3B65" w:rsidP="00FC3B65">
      <w:pPr>
        <w:spacing w:after="240"/>
        <w:jc w:val="center"/>
        <w:rPr>
          <w:b/>
          <w:sz w:val="72"/>
          <w:szCs w:val="72"/>
        </w:rPr>
      </w:pPr>
      <w:r>
        <w:rPr>
          <w:b/>
          <w:sz w:val="72"/>
          <w:szCs w:val="72"/>
        </w:rPr>
        <w:t xml:space="preserve">PHƯƠNG ÁN </w:t>
      </w:r>
    </w:p>
    <w:p w:rsidR="00FC3B65" w:rsidRDefault="00FC3B65" w:rsidP="00FC3B65">
      <w:pPr>
        <w:spacing w:after="240"/>
        <w:jc w:val="center"/>
        <w:rPr>
          <w:b/>
          <w:sz w:val="32"/>
          <w:szCs w:val="32"/>
        </w:rPr>
      </w:pPr>
      <w:r>
        <w:rPr>
          <w:b/>
          <w:sz w:val="32"/>
          <w:szCs w:val="32"/>
        </w:rPr>
        <w:t>PHÁT HÀNH CỔ PHIẾU THƯỞNG</w:t>
      </w:r>
    </w:p>
    <w:p w:rsidR="00FC3B65" w:rsidRDefault="00FC3B65" w:rsidP="00FC3B65">
      <w:pPr>
        <w:spacing w:after="240"/>
        <w:jc w:val="center"/>
        <w:rPr>
          <w:b/>
          <w:sz w:val="32"/>
          <w:szCs w:val="32"/>
        </w:rPr>
      </w:pPr>
      <w:r>
        <w:rPr>
          <w:b/>
          <w:sz w:val="32"/>
          <w:szCs w:val="32"/>
        </w:rPr>
        <w:t>VÀ CHÀO BÁN CỔ PHIẾU CHO CỔ ĐÔNG HIỆN HỮU</w:t>
      </w:r>
    </w:p>
    <w:p w:rsidR="00FC3B65" w:rsidRDefault="00FC3B65" w:rsidP="00FC3B65">
      <w:pPr>
        <w:spacing w:after="240"/>
        <w:jc w:val="center"/>
        <w:rPr>
          <w:b/>
        </w:rPr>
      </w:pPr>
      <w:r>
        <w:rPr>
          <w:b/>
          <w:sz w:val="32"/>
          <w:szCs w:val="32"/>
        </w:rPr>
        <w:t>CỦA CÔNG TY CỔ PHẦN BẾN XE NGHỆ AN</w:t>
      </w:r>
    </w:p>
    <w:p w:rsidR="00FC3B65" w:rsidRDefault="00FC3B65" w:rsidP="00FC3B65">
      <w:pPr>
        <w:spacing w:after="240"/>
        <w:jc w:val="center"/>
        <w:rPr>
          <w:b/>
          <w:i/>
        </w:rPr>
      </w:pPr>
      <w:r>
        <w:rPr>
          <w:b/>
          <w:i/>
        </w:rPr>
        <w:t>(</w:t>
      </w:r>
      <w:r w:rsidRPr="007959F6">
        <w:rPr>
          <w:b/>
          <w:i/>
          <w:spacing w:val="-10"/>
        </w:rPr>
        <w:t>Tăng Vốn điều lệ năm 201</w:t>
      </w:r>
      <w:r>
        <w:rPr>
          <w:b/>
          <w:i/>
          <w:spacing w:val="-10"/>
        </w:rPr>
        <w:t>9</w:t>
      </w:r>
      <w:r w:rsidRPr="007959F6">
        <w:rPr>
          <w:b/>
          <w:i/>
          <w:spacing w:val="-10"/>
        </w:rPr>
        <w:t xml:space="preserve"> để </w:t>
      </w:r>
      <w:r>
        <w:rPr>
          <w:b/>
          <w:i/>
          <w:spacing w:val="-10"/>
        </w:rPr>
        <w:t>đáp ứng yêu cầu vốn chủ sở hữu cho các dự án đầu tư</w:t>
      </w:r>
      <w:r>
        <w:rPr>
          <w:b/>
          <w:i/>
        </w:rPr>
        <w:t xml:space="preserve">) </w:t>
      </w:r>
    </w:p>
    <w:p w:rsidR="00FC3B65" w:rsidRDefault="00FC3B65" w:rsidP="00FC3B65">
      <w:pPr>
        <w:spacing w:after="240"/>
        <w:jc w:val="center"/>
        <w:rPr>
          <w:b/>
          <w:u w:val="single"/>
        </w:rPr>
      </w:pPr>
      <w:r>
        <w:rPr>
          <w:b/>
          <w:u w:val="single"/>
        </w:rPr>
        <w:t>______________________________________</w:t>
      </w:r>
    </w:p>
    <w:p w:rsidR="00FC3B65" w:rsidRDefault="00FC3B65" w:rsidP="00FC3B65">
      <w:pPr>
        <w:spacing w:before="480" w:after="240"/>
        <w:jc w:val="center"/>
        <w:rPr>
          <w:b/>
          <w:u w:val="single"/>
        </w:rPr>
      </w:pPr>
    </w:p>
    <w:p w:rsidR="00FC3B65" w:rsidRDefault="00FC3B65" w:rsidP="00FC3B65">
      <w:pPr>
        <w:spacing w:before="480" w:after="240"/>
        <w:jc w:val="center"/>
        <w:rPr>
          <w:b/>
          <w:u w:val="single"/>
        </w:rPr>
      </w:pPr>
    </w:p>
    <w:p w:rsidR="00FC3B65" w:rsidRPr="00985794" w:rsidRDefault="00FC3B65" w:rsidP="00FC3B65">
      <w:pPr>
        <w:spacing w:before="480" w:after="240"/>
        <w:jc w:val="center"/>
        <w:rPr>
          <w:b/>
          <w:u w:val="single"/>
        </w:rPr>
      </w:pPr>
      <w:r w:rsidRPr="00985794">
        <w:rPr>
          <w:b/>
          <w:u w:val="single"/>
        </w:rPr>
        <w:t xml:space="preserve">TỔ CHỨC </w:t>
      </w:r>
      <w:r>
        <w:rPr>
          <w:b/>
          <w:u w:val="single"/>
        </w:rPr>
        <w:t>CHÀO BÁN</w:t>
      </w:r>
    </w:p>
    <w:p w:rsidR="00FC3B65" w:rsidRPr="00985794" w:rsidRDefault="00FC3B65" w:rsidP="00FC3B65">
      <w:pPr>
        <w:spacing w:after="240"/>
        <w:jc w:val="center"/>
        <w:rPr>
          <w:b/>
          <w:sz w:val="28"/>
          <w:szCs w:val="28"/>
        </w:rPr>
      </w:pPr>
      <w:r w:rsidRPr="00985794">
        <w:rPr>
          <w:b/>
          <w:sz w:val="28"/>
          <w:szCs w:val="28"/>
        </w:rPr>
        <w:t xml:space="preserve">CÔNG TY CỔ PHẦN </w:t>
      </w:r>
      <w:r>
        <w:rPr>
          <w:b/>
          <w:sz w:val="28"/>
          <w:szCs w:val="28"/>
        </w:rPr>
        <w:t>BẾN XE NGHỆ AN</w:t>
      </w:r>
    </w:p>
    <w:p w:rsidR="00FC3B65" w:rsidRDefault="00FC3B65" w:rsidP="00FC3B65">
      <w:pPr>
        <w:spacing w:after="240"/>
        <w:ind w:firstLine="720"/>
        <w:rPr>
          <w:b/>
        </w:rPr>
      </w:pPr>
    </w:p>
    <w:p w:rsidR="00FC3B65" w:rsidRDefault="00FC3B65" w:rsidP="00FC3B65">
      <w:pPr>
        <w:spacing w:after="240"/>
        <w:ind w:firstLine="720"/>
        <w:rPr>
          <w:b/>
        </w:rPr>
      </w:pPr>
    </w:p>
    <w:p w:rsidR="00FC3B65" w:rsidRDefault="00FC3B65" w:rsidP="00FC3B65">
      <w:pPr>
        <w:pStyle w:val="BodyText"/>
        <w:numPr>
          <w:ilvl w:val="0"/>
          <w:numId w:val="1"/>
        </w:numPr>
        <w:spacing w:after="240"/>
        <w:ind w:hanging="720"/>
        <w:rPr>
          <w:rFonts w:ascii="Times New Roman" w:hAnsi="Times New Roman"/>
          <w:sz w:val="24"/>
          <w:szCs w:val="24"/>
        </w:rPr>
      </w:pPr>
      <w:r>
        <w:rPr>
          <w:rFonts w:ascii="Times New Roman" w:hAnsi="Times New Roman"/>
          <w:sz w:val="24"/>
          <w:szCs w:val="24"/>
        </w:rPr>
        <w:t xml:space="preserve">Địa chỉ: </w:t>
      </w:r>
      <w:r>
        <w:rPr>
          <w:rFonts w:ascii="Times New Roman" w:hAnsi="Times New Roman"/>
          <w:sz w:val="24"/>
          <w:szCs w:val="24"/>
        </w:rPr>
        <w:tab/>
        <w:t>Số 77 Đ.Lê Lợi – P.Lê Lợi – TP.Vinh – Nghệ An</w:t>
      </w:r>
    </w:p>
    <w:p w:rsidR="00FC3B65" w:rsidRDefault="00FC3B65" w:rsidP="00FC3B65">
      <w:pPr>
        <w:pStyle w:val="BodyText"/>
        <w:numPr>
          <w:ilvl w:val="0"/>
          <w:numId w:val="1"/>
        </w:numPr>
        <w:spacing w:after="240"/>
        <w:ind w:hanging="720"/>
        <w:rPr>
          <w:rFonts w:ascii="Times New Roman" w:hAnsi="Times New Roman"/>
          <w:sz w:val="24"/>
          <w:szCs w:val="24"/>
        </w:rPr>
      </w:pPr>
      <w:r>
        <w:rPr>
          <w:rFonts w:ascii="Times New Roman" w:hAnsi="Times New Roman"/>
          <w:sz w:val="24"/>
          <w:szCs w:val="24"/>
        </w:rPr>
        <w:t xml:space="preserve">Điện thoại: </w:t>
      </w:r>
      <w:r>
        <w:rPr>
          <w:rFonts w:ascii="Times New Roman" w:hAnsi="Times New Roman"/>
          <w:sz w:val="24"/>
          <w:szCs w:val="24"/>
        </w:rPr>
        <w:tab/>
      </w:r>
      <w:r w:rsidRPr="00265E22">
        <w:rPr>
          <w:rFonts w:ascii="Times New Roman" w:hAnsi="Times New Roman"/>
          <w:sz w:val="24"/>
          <w:szCs w:val="24"/>
          <w:lang w:val="nl-NL"/>
        </w:rPr>
        <w:t>0</w:t>
      </w:r>
      <w:r>
        <w:rPr>
          <w:rFonts w:ascii="Times New Roman" w:hAnsi="Times New Roman"/>
          <w:sz w:val="24"/>
          <w:szCs w:val="24"/>
          <w:lang w:val="nl-NL"/>
        </w:rPr>
        <w:t>238 – 38 35 182</w:t>
      </w:r>
    </w:p>
    <w:p w:rsidR="00FC3B65" w:rsidRDefault="00FC3B65" w:rsidP="00FC3B65">
      <w:pPr>
        <w:pStyle w:val="BodyText"/>
        <w:numPr>
          <w:ilvl w:val="0"/>
          <w:numId w:val="1"/>
        </w:numPr>
        <w:spacing w:after="240"/>
        <w:ind w:hanging="720"/>
        <w:rPr>
          <w:rFonts w:ascii="Times New Roman" w:hAnsi="Times New Roman"/>
          <w:sz w:val="24"/>
          <w:szCs w:val="24"/>
        </w:rPr>
      </w:pPr>
      <w:r>
        <w:rPr>
          <w:rFonts w:ascii="Times New Roman" w:hAnsi="Times New Roman"/>
          <w:sz w:val="24"/>
          <w:szCs w:val="24"/>
        </w:rPr>
        <w:t>Fax:</w:t>
      </w:r>
      <w:r>
        <w:rPr>
          <w:rFonts w:ascii="Times New Roman" w:hAnsi="Times New Roman"/>
          <w:sz w:val="24"/>
          <w:szCs w:val="24"/>
        </w:rPr>
        <w:tab/>
      </w:r>
      <w:r>
        <w:rPr>
          <w:rFonts w:ascii="Times New Roman" w:hAnsi="Times New Roman"/>
          <w:sz w:val="24"/>
          <w:szCs w:val="24"/>
        </w:rPr>
        <w:tab/>
      </w:r>
      <w:r w:rsidRPr="00265E22">
        <w:rPr>
          <w:rFonts w:ascii="Times New Roman" w:hAnsi="Times New Roman"/>
          <w:sz w:val="24"/>
          <w:szCs w:val="24"/>
          <w:lang w:val="nl-NL"/>
        </w:rPr>
        <w:t>0</w:t>
      </w:r>
      <w:r>
        <w:rPr>
          <w:rFonts w:ascii="Times New Roman" w:hAnsi="Times New Roman"/>
          <w:sz w:val="24"/>
          <w:szCs w:val="24"/>
          <w:lang w:val="nl-NL"/>
        </w:rPr>
        <w:t xml:space="preserve">238 </w:t>
      </w:r>
      <w:r w:rsidRPr="00265E22">
        <w:rPr>
          <w:rFonts w:ascii="Times New Roman" w:hAnsi="Times New Roman"/>
          <w:sz w:val="24"/>
          <w:szCs w:val="24"/>
          <w:lang w:val="nl-NL"/>
        </w:rPr>
        <w:t>-</w:t>
      </w:r>
      <w:r>
        <w:rPr>
          <w:rFonts w:ascii="Times New Roman" w:hAnsi="Times New Roman"/>
          <w:sz w:val="24"/>
          <w:szCs w:val="24"/>
          <w:lang w:val="nl-NL"/>
        </w:rPr>
        <w:t xml:space="preserve"> 38 35 183</w:t>
      </w:r>
    </w:p>
    <w:p w:rsidR="00FC3B65" w:rsidRPr="00B15178" w:rsidRDefault="00FC3B65" w:rsidP="00FC3B65">
      <w:pPr>
        <w:pStyle w:val="BodyText"/>
        <w:numPr>
          <w:ilvl w:val="0"/>
          <w:numId w:val="1"/>
        </w:numPr>
        <w:spacing w:after="240"/>
        <w:ind w:hanging="720"/>
        <w:rPr>
          <w:rStyle w:val="normal1"/>
          <w:rFonts w:ascii="Times New Roman" w:hAnsi="Times New Roman"/>
          <w:sz w:val="24"/>
          <w:szCs w:val="24"/>
        </w:rPr>
      </w:pPr>
      <w:r w:rsidRPr="00EB22A6">
        <w:rPr>
          <w:rFonts w:ascii="Times New Roman" w:hAnsi="Times New Roman"/>
          <w:sz w:val="24"/>
          <w:szCs w:val="24"/>
        </w:rPr>
        <w:t>Giấy Chứng nhận ĐKKD số</w:t>
      </w:r>
      <w:r>
        <w:rPr>
          <w:rFonts w:ascii="Times New Roman" w:hAnsi="Times New Roman"/>
          <w:sz w:val="24"/>
          <w:szCs w:val="24"/>
        </w:rPr>
        <w:t xml:space="preserve"> 2900599622</w:t>
      </w:r>
      <w:r w:rsidRPr="00EB22A6">
        <w:rPr>
          <w:rFonts w:ascii="Times New Roman" w:hAnsi="Times New Roman"/>
          <w:sz w:val="24"/>
          <w:szCs w:val="24"/>
        </w:rPr>
        <w:t xml:space="preserve"> do Sở kế hoạch và Đầu tư </w:t>
      </w:r>
      <w:r>
        <w:rPr>
          <w:rFonts w:ascii="Times New Roman" w:hAnsi="Times New Roman"/>
          <w:sz w:val="24"/>
          <w:szCs w:val="24"/>
        </w:rPr>
        <w:t>Nghệ An</w:t>
      </w:r>
      <w:r w:rsidRPr="00EB22A6">
        <w:rPr>
          <w:rFonts w:ascii="Times New Roman" w:hAnsi="Times New Roman"/>
          <w:sz w:val="24"/>
          <w:szCs w:val="24"/>
        </w:rPr>
        <w:t xml:space="preserve"> cấp lần đầu ngày 3</w:t>
      </w:r>
      <w:r>
        <w:rPr>
          <w:rFonts w:ascii="Times New Roman" w:hAnsi="Times New Roman"/>
          <w:sz w:val="24"/>
          <w:szCs w:val="24"/>
        </w:rPr>
        <w:t>0</w:t>
      </w:r>
      <w:r w:rsidRPr="00EB22A6">
        <w:rPr>
          <w:rFonts w:ascii="Times New Roman" w:hAnsi="Times New Roman"/>
          <w:sz w:val="24"/>
          <w:szCs w:val="24"/>
        </w:rPr>
        <w:t>/0</w:t>
      </w:r>
      <w:r>
        <w:rPr>
          <w:rFonts w:ascii="Times New Roman" w:hAnsi="Times New Roman"/>
          <w:sz w:val="24"/>
          <w:szCs w:val="24"/>
        </w:rPr>
        <w:t>7</w:t>
      </w:r>
      <w:r w:rsidRPr="00EB22A6">
        <w:rPr>
          <w:rFonts w:ascii="Times New Roman" w:hAnsi="Times New Roman"/>
          <w:sz w:val="24"/>
          <w:szCs w:val="24"/>
        </w:rPr>
        <w:t>/200</w:t>
      </w:r>
      <w:r>
        <w:rPr>
          <w:rFonts w:ascii="Times New Roman" w:hAnsi="Times New Roman"/>
          <w:sz w:val="24"/>
          <w:szCs w:val="24"/>
        </w:rPr>
        <w:t>4</w:t>
      </w:r>
      <w:r w:rsidRPr="00EB22A6">
        <w:rPr>
          <w:rFonts w:ascii="Times New Roman" w:hAnsi="Times New Roman"/>
          <w:sz w:val="24"/>
          <w:szCs w:val="24"/>
        </w:rPr>
        <w:t xml:space="preserve">, </w:t>
      </w:r>
      <w:r w:rsidRPr="00DB6612">
        <w:rPr>
          <w:rFonts w:ascii="Times New Roman" w:hAnsi="Times New Roman"/>
          <w:sz w:val="24"/>
          <w:szCs w:val="24"/>
        </w:rPr>
        <w:t xml:space="preserve">thay </w:t>
      </w:r>
      <w:r w:rsidRPr="00DB6612">
        <w:rPr>
          <w:rFonts w:ascii="Times New Roman" w:hAnsi="Times New Roman" w:hint="eastAsia"/>
          <w:sz w:val="24"/>
          <w:szCs w:val="24"/>
        </w:rPr>
        <w:t>đ</w:t>
      </w:r>
      <w:r w:rsidRPr="00BB7EA9">
        <w:rPr>
          <w:rFonts w:ascii="Times New Roman" w:hAnsi="Times New Roman"/>
          <w:sz w:val="24"/>
          <w:szCs w:val="24"/>
        </w:rPr>
        <w:t>ổi lần thứ 0</w:t>
      </w:r>
      <w:r w:rsidRPr="00B15178">
        <w:rPr>
          <w:rFonts w:ascii="Times New Roman" w:hAnsi="Times New Roman"/>
          <w:sz w:val="24"/>
          <w:szCs w:val="24"/>
        </w:rPr>
        <w:t>6</w:t>
      </w:r>
      <w:r w:rsidRPr="00DB6612">
        <w:rPr>
          <w:rFonts w:ascii="Times New Roman" w:hAnsi="Times New Roman"/>
          <w:sz w:val="24"/>
          <w:szCs w:val="24"/>
        </w:rPr>
        <w:t xml:space="preserve"> ngày 0</w:t>
      </w:r>
      <w:r w:rsidRPr="00BB7EA9">
        <w:rPr>
          <w:rFonts w:ascii="Times New Roman" w:hAnsi="Times New Roman"/>
          <w:sz w:val="24"/>
          <w:szCs w:val="24"/>
        </w:rPr>
        <w:t>5/</w:t>
      </w:r>
      <w:r w:rsidRPr="00B15178">
        <w:rPr>
          <w:rFonts w:ascii="Times New Roman" w:hAnsi="Times New Roman"/>
          <w:sz w:val="24"/>
          <w:szCs w:val="24"/>
        </w:rPr>
        <w:t>07</w:t>
      </w:r>
      <w:r w:rsidRPr="00DB6612">
        <w:rPr>
          <w:rFonts w:ascii="Times New Roman" w:hAnsi="Times New Roman"/>
          <w:sz w:val="24"/>
          <w:szCs w:val="24"/>
        </w:rPr>
        <w:t>/20</w:t>
      </w:r>
      <w:r w:rsidRPr="00B15178">
        <w:rPr>
          <w:rFonts w:ascii="Times New Roman" w:hAnsi="Times New Roman"/>
          <w:sz w:val="24"/>
          <w:szCs w:val="24"/>
        </w:rPr>
        <w:t>13</w:t>
      </w:r>
      <w:r w:rsidRPr="00DB6612">
        <w:rPr>
          <w:rFonts w:ascii="Times New Roman" w:hAnsi="Times New Roman"/>
          <w:sz w:val="24"/>
          <w:szCs w:val="24"/>
        </w:rPr>
        <w:t>.</w:t>
      </w:r>
    </w:p>
    <w:p w:rsidR="00FC3B65" w:rsidRPr="007E35E8" w:rsidRDefault="00FC3B65" w:rsidP="00FC3B65">
      <w:pPr>
        <w:spacing w:before="480" w:after="240"/>
        <w:jc w:val="center"/>
        <w:rPr>
          <w:b/>
          <w:u w:val="single"/>
        </w:rPr>
      </w:pPr>
      <w:r>
        <w:rPr>
          <w:b/>
        </w:rPr>
        <w:br w:type="page"/>
      </w:r>
      <w:r w:rsidRPr="007E35E8">
        <w:rPr>
          <w:b/>
          <w:u w:val="single"/>
        </w:rPr>
        <w:lastRenderedPageBreak/>
        <w:t>BỘ PHẬN ĐỀ XUẤT PHƯƠNG ÁN PHÁT HÀNH</w:t>
      </w:r>
    </w:p>
    <w:p w:rsidR="00FC3B65" w:rsidRPr="007E35E8" w:rsidRDefault="00FC3B65" w:rsidP="00FC3B65">
      <w:pPr>
        <w:spacing w:after="240"/>
        <w:ind w:left="-1080" w:right="-536"/>
        <w:jc w:val="center"/>
        <w:rPr>
          <w:b/>
          <w:szCs w:val="28"/>
        </w:rPr>
      </w:pPr>
      <w:r>
        <w:rPr>
          <w:b/>
          <w:sz w:val="28"/>
          <w:szCs w:val="28"/>
        </w:rPr>
        <w:t xml:space="preserve">       HỘI ĐỒNG QUẢN TRỊ - CÔNG TY CỔ PHẦN BẾN XE NGHỆ AN</w:t>
      </w:r>
    </w:p>
    <w:p w:rsidR="00FC3B65" w:rsidRDefault="00FC3B65" w:rsidP="00FC3B65">
      <w:pPr>
        <w:pStyle w:val="BodyText"/>
        <w:spacing w:after="240"/>
        <w:jc w:val="center"/>
        <w:rPr>
          <w:rStyle w:val="normal1"/>
          <w:rFonts w:ascii="Times New Roman" w:hAnsi="Times New Roman"/>
          <w:sz w:val="24"/>
          <w:szCs w:val="24"/>
        </w:rPr>
      </w:pPr>
    </w:p>
    <w:p w:rsidR="00FC3B65" w:rsidRDefault="00FC3B65" w:rsidP="00FC3B65">
      <w:pPr>
        <w:spacing w:before="120" w:line="312" w:lineRule="auto"/>
        <w:jc w:val="both"/>
        <w:rPr>
          <w:b/>
        </w:rPr>
      </w:pPr>
      <w:r>
        <w:rPr>
          <w:b/>
        </w:rPr>
        <w:t>I.</w:t>
      </w:r>
      <w:r>
        <w:rPr>
          <w:b/>
        </w:rPr>
        <w:tab/>
        <w:t xml:space="preserve">CĂN CỨ PHÁP LÝ ĐỂ </w:t>
      </w:r>
      <w:r w:rsidRPr="00F07CE6">
        <w:rPr>
          <w:b/>
        </w:rPr>
        <w:t>ĐỀ</w:t>
      </w:r>
      <w:r>
        <w:rPr>
          <w:b/>
        </w:rPr>
        <w:t xml:space="preserve"> XU</w:t>
      </w:r>
      <w:r w:rsidRPr="00F07CE6">
        <w:rPr>
          <w:b/>
        </w:rPr>
        <w:t>ẤT</w:t>
      </w:r>
      <w:r>
        <w:rPr>
          <w:b/>
        </w:rPr>
        <w:t xml:space="preserve"> PH</w:t>
      </w:r>
      <w:r w:rsidRPr="00F07CE6">
        <w:rPr>
          <w:b/>
        </w:rPr>
        <w:t>ƯƠ</w:t>
      </w:r>
      <w:r>
        <w:rPr>
          <w:b/>
        </w:rPr>
        <w:t xml:space="preserve">NG </w:t>
      </w:r>
      <w:r w:rsidRPr="00F07CE6">
        <w:rPr>
          <w:b/>
        </w:rPr>
        <w:t>ÁN</w:t>
      </w:r>
      <w:r>
        <w:rPr>
          <w:b/>
        </w:rPr>
        <w:t xml:space="preserve"> PHÁT HÀNH NĂM 2019</w:t>
      </w:r>
    </w:p>
    <w:p w:rsidR="00FC3B65" w:rsidRDefault="00FC3B65" w:rsidP="00FC3B65">
      <w:pPr>
        <w:spacing w:before="120" w:line="312" w:lineRule="auto"/>
        <w:ind w:left="720" w:hanging="720"/>
        <w:jc w:val="both"/>
      </w:pPr>
      <w:r>
        <w:t>1.</w:t>
      </w:r>
      <w:r>
        <w:tab/>
        <w:t>Luật Doanh nghiệp s</w:t>
      </w:r>
      <w:r w:rsidRPr="00D76A94">
        <w:t>ố</w:t>
      </w:r>
      <w:r>
        <w:t xml:space="preserve"> 68/2014/QH13 </w:t>
      </w:r>
      <w:r w:rsidRPr="005F0933">
        <w:t>được</w:t>
      </w:r>
      <w:r>
        <w:t xml:space="preserve"> Qu</w:t>
      </w:r>
      <w:r w:rsidRPr="005F0933">
        <w:t>ốc</w:t>
      </w:r>
      <w:r>
        <w:t xml:space="preserve"> h</w:t>
      </w:r>
      <w:r w:rsidRPr="005F0933">
        <w:t>ội</w:t>
      </w:r>
      <w:r>
        <w:t xml:space="preserve"> n</w:t>
      </w:r>
      <w:r w:rsidRPr="005F0933">
        <w:t>ước</w:t>
      </w:r>
      <w:r>
        <w:t xml:space="preserve"> Cộng hoà xã hội chủ nghĩa Việt Nam kho</w:t>
      </w:r>
      <w:r w:rsidRPr="005F0933">
        <w:t>á</w:t>
      </w:r>
      <w:r>
        <w:t xml:space="preserve"> 13 th</w:t>
      </w:r>
      <w:r w:rsidRPr="005F0933">
        <w:t>ô</w:t>
      </w:r>
      <w:r>
        <w:t>ng qua ng</w:t>
      </w:r>
      <w:r w:rsidRPr="005F0933">
        <w:t>à</w:t>
      </w:r>
      <w:r>
        <w:t>y 26/11/2005;</w:t>
      </w:r>
    </w:p>
    <w:p w:rsidR="00FC3B65" w:rsidRDefault="00FC3B65" w:rsidP="00FC3B65">
      <w:pPr>
        <w:spacing w:before="120" w:line="312" w:lineRule="auto"/>
        <w:ind w:left="720" w:hanging="720"/>
        <w:jc w:val="both"/>
      </w:pPr>
      <w:r>
        <w:t>2.</w:t>
      </w:r>
      <w:r>
        <w:tab/>
        <w:t>Lu</w:t>
      </w:r>
      <w:r w:rsidRPr="00B85E68">
        <w:t>ật</w:t>
      </w:r>
      <w:r>
        <w:t xml:space="preserve"> Ch</w:t>
      </w:r>
      <w:r w:rsidRPr="00B85E68">
        <w:t>ứn</w:t>
      </w:r>
      <w:r>
        <w:t>g kho</w:t>
      </w:r>
      <w:r w:rsidRPr="00B85E68">
        <w:t>á</w:t>
      </w:r>
      <w:r>
        <w:t>n s</w:t>
      </w:r>
      <w:r w:rsidRPr="00B85E68">
        <w:t>ố</w:t>
      </w:r>
      <w:r>
        <w:t xml:space="preserve"> 70/2005/QH11 </w:t>
      </w:r>
      <w:r w:rsidRPr="00B85E68">
        <w:t>được</w:t>
      </w:r>
      <w:r>
        <w:t xml:space="preserve"> Qu</w:t>
      </w:r>
      <w:r w:rsidRPr="00B85E68">
        <w:t>ốc</w:t>
      </w:r>
      <w:r>
        <w:t xml:space="preserve"> h</w:t>
      </w:r>
      <w:r w:rsidRPr="00B85E68">
        <w:t>ội</w:t>
      </w:r>
      <w:r>
        <w:t xml:space="preserve"> n</w:t>
      </w:r>
      <w:r w:rsidRPr="00B85E68">
        <w:t>ước</w:t>
      </w:r>
      <w:r>
        <w:t xml:space="preserve"> C</w:t>
      </w:r>
      <w:r w:rsidRPr="003449D3">
        <w:t>ộng</w:t>
      </w:r>
      <w:r>
        <w:t xml:space="preserve"> h</w:t>
      </w:r>
      <w:r w:rsidRPr="003449D3">
        <w:t>ò</w:t>
      </w:r>
      <w:r>
        <w:t>a x</w:t>
      </w:r>
      <w:r w:rsidRPr="003449D3">
        <w:t>ã</w:t>
      </w:r>
      <w:r>
        <w:t xml:space="preserve"> h</w:t>
      </w:r>
      <w:r w:rsidRPr="003449D3">
        <w:t>ội</w:t>
      </w:r>
      <w:r>
        <w:t xml:space="preserve"> ch</w:t>
      </w:r>
      <w:r w:rsidRPr="003449D3">
        <w:t>ủ</w:t>
      </w:r>
      <w:r>
        <w:t xml:space="preserve"> ngh</w:t>
      </w:r>
      <w:r w:rsidRPr="003449D3">
        <w:t>ĩa</w:t>
      </w:r>
      <w:r>
        <w:t xml:space="preserve"> Vi</w:t>
      </w:r>
      <w:r w:rsidRPr="003449D3">
        <w:t>ệt</w:t>
      </w:r>
      <w:r>
        <w:t xml:space="preserve"> </w:t>
      </w:r>
      <w:smartTag w:uri="urn:schemas-microsoft-com:office:smarttags" w:element="place">
        <w:smartTag w:uri="urn:schemas-microsoft-com:office:smarttags" w:element="country-region">
          <w:r>
            <w:t>Nam</w:t>
          </w:r>
        </w:smartTag>
      </w:smartTag>
      <w:r>
        <w:t xml:space="preserve"> kh</w:t>
      </w:r>
      <w:r w:rsidRPr="003449D3">
        <w:t>ó</w:t>
      </w:r>
      <w:r>
        <w:t>a 11 th</w:t>
      </w:r>
      <w:r w:rsidRPr="003449D3">
        <w:t>ô</w:t>
      </w:r>
      <w:r>
        <w:t>ng qua ng</w:t>
      </w:r>
      <w:r w:rsidRPr="003449D3">
        <w:t>à</w:t>
      </w:r>
      <w:r>
        <w:t>y 29/06/2006;</w:t>
      </w:r>
    </w:p>
    <w:p w:rsidR="00FC3B65" w:rsidRDefault="00FC3B65" w:rsidP="00FC3B65">
      <w:pPr>
        <w:spacing w:before="120" w:line="312" w:lineRule="auto"/>
        <w:ind w:left="720" w:hanging="720"/>
        <w:jc w:val="both"/>
      </w:pPr>
      <w:r>
        <w:t>3.</w:t>
      </w:r>
      <w:r>
        <w:tab/>
        <w:t>Luật sửa đổi bổ sung một số điều của Luật chứng khoán số 62/2010/QH12 được Quốc hội nước Cộng hòa xã hội chủ nghĩa Việt Nam khóa 12 thông qua ngày 21/11/2010;</w:t>
      </w:r>
    </w:p>
    <w:p w:rsidR="00FC3B65" w:rsidRDefault="00FC3B65" w:rsidP="00FC3B65">
      <w:pPr>
        <w:spacing w:before="120" w:line="312" w:lineRule="auto"/>
        <w:ind w:left="720" w:hanging="720"/>
        <w:jc w:val="both"/>
      </w:pPr>
      <w:r>
        <w:t>4.</w:t>
      </w:r>
      <w:r>
        <w:tab/>
        <w:t>Nghị định số 58/2012/NĐ-CP ngày 20/07/2012 của Chính phủ quy định chi tiết và hướng dẫn thi hành một số điều của Luật chứng khoán và Luật chứng khoán sửa đổi;</w:t>
      </w:r>
    </w:p>
    <w:p w:rsidR="00FC3B65" w:rsidRDefault="00FC3B65" w:rsidP="00FC3B65">
      <w:pPr>
        <w:spacing w:before="120" w:line="312" w:lineRule="auto"/>
        <w:ind w:left="720" w:hanging="720"/>
        <w:jc w:val="both"/>
      </w:pPr>
      <w:r>
        <w:t>5.</w:t>
      </w:r>
      <w:r>
        <w:tab/>
        <w:t>Nghị định số 60/2015/NĐ-CP ngày 26/06/2015 của Chính phủ về sửa đổi, bổ sung một số điều của Nghị định 58/2012/NĐ-CP ngày 20/07/2012;</w:t>
      </w:r>
    </w:p>
    <w:p w:rsidR="00FC3B65" w:rsidRDefault="00FC3B65" w:rsidP="00FC3B65">
      <w:pPr>
        <w:spacing w:before="120" w:line="312" w:lineRule="auto"/>
        <w:ind w:left="720" w:hanging="720"/>
        <w:jc w:val="both"/>
      </w:pPr>
      <w:r>
        <w:t>6.</w:t>
      </w:r>
      <w:r>
        <w:tab/>
        <w:t>Điều lệ Tổ chức và Hoạt động của Công ty Cổ phần bến xe Nghệ An</w:t>
      </w:r>
    </w:p>
    <w:p w:rsidR="00FC3B65" w:rsidRDefault="00FC3B65" w:rsidP="00FC3B65">
      <w:pPr>
        <w:spacing w:after="120" w:line="300" w:lineRule="exact"/>
        <w:jc w:val="both"/>
      </w:pPr>
      <w:r>
        <w:t>7.</w:t>
      </w:r>
      <w:r>
        <w:tab/>
        <w:t>Căn cứ vào nhu cầu nguồn vốn để đáp ứng yêu cầu vốn chủ sở hữu cho các dự án đầu tư năm 2019 và những năm tiếp theo</w:t>
      </w:r>
      <w:r w:rsidRPr="00076067">
        <w:t>.</w:t>
      </w:r>
    </w:p>
    <w:p w:rsidR="00FC3B65" w:rsidRDefault="00FC3B65" w:rsidP="00FC3B65">
      <w:pPr>
        <w:spacing w:after="120" w:line="300" w:lineRule="exact"/>
        <w:ind w:left="720" w:hanging="720"/>
        <w:jc w:val="both"/>
      </w:pPr>
    </w:p>
    <w:p w:rsidR="00FC3B65" w:rsidRPr="00C82F70" w:rsidRDefault="00FC3B65" w:rsidP="00FC3B65">
      <w:pPr>
        <w:spacing w:after="240"/>
        <w:jc w:val="both"/>
        <w:rPr>
          <w:b/>
        </w:rPr>
      </w:pPr>
      <w:r>
        <w:rPr>
          <w:b/>
        </w:rPr>
        <w:t>II.</w:t>
      </w:r>
      <w:r>
        <w:rPr>
          <w:b/>
        </w:rPr>
        <w:tab/>
        <w:t>C</w:t>
      </w:r>
      <w:r w:rsidRPr="001B3072">
        <w:rPr>
          <w:b/>
        </w:rPr>
        <w:t>Ơ</w:t>
      </w:r>
      <w:r>
        <w:rPr>
          <w:b/>
        </w:rPr>
        <w:t xml:space="preserve"> S</w:t>
      </w:r>
      <w:r w:rsidRPr="001B3072">
        <w:rPr>
          <w:b/>
        </w:rPr>
        <w:t>Ở</w:t>
      </w:r>
      <w:r>
        <w:rPr>
          <w:b/>
        </w:rPr>
        <w:t xml:space="preserve"> X</w:t>
      </w:r>
      <w:r w:rsidRPr="001B3072">
        <w:rPr>
          <w:b/>
        </w:rPr>
        <w:t>Â</w:t>
      </w:r>
      <w:r>
        <w:rPr>
          <w:b/>
        </w:rPr>
        <w:t>Y D</w:t>
      </w:r>
      <w:r w:rsidRPr="001B3072">
        <w:rPr>
          <w:b/>
        </w:rPr>
        <w:t>ỰN</w:t>
      </w:r>
      <w:r>
        <w:rPr>
          <w:b/>
        </w:rPr>
        <w:t>G PH</w:t>
      </w:r>
      <w:r w:rsidRPr="001B3072">
        <w:rPr>
          <w:b/>
        </w:rPr>
        <w:t>ƯƠ</w:t>
      </w:r>
      <w:r>
        <w:rPr>
          <w:b/>
        </w:rPr>
        <w:t xml:space="preserve">NG </w:t>
      </w:r>
      <w:r w:rsidRPr="001B3072">
        <w:rPr>
          <w:b/>
        </w:rPr>
        <w:t>Á</w:t>
      </w:r>
      <w:r>
        <w:rPr>
          <w:b/>
        </w:rPr>
        <w:t xml:space="preserve">N </w:t>
      </w:r>
    </w:p>
    <w:p w:rsidR="00FC3B65" w:rsidRDefault="00FC3B65" w:rsidP="00FC3B65">
      <w:pPr>
        <w:numPr>
          <w:ilvl w:val="0"/>
          <w:numId w:val="3"/>
        </w:numPr>
        <w:spacing w:before="240" w:after="120" w:line="20" w:lineRule="atLeast"/>
        <w:ind w:hanging="720"/>
        <w:jc w:val="both"/>
        <w:rPr>
          <w:b/>
        </w:rPr>
      </w:pPr>
      <w:r>
        <w:rPr>
          <w:b/>
        </w:rPr>
        <w:t>Sự cần thiết</w:t>
      </w:r>
    </w:p>
    <w:p w:rsidR="00FC3B65" w:rsidRDefault="00FC3B65" w:rsidP="00FC3B65">
      <w:pPr>
        <w:spacing w:after="240" w:line="20" w:lineRule="atLeast"/>
        <w:ind w:left="720"/>
        <w:jc w:val="both"/>
      </w:pPr>
      <w:r>
        <w:t>Hoạt động sản xuất kinh doanh chính của Công ty bao gồm: Hoạt động dịch vụ hỗ trợ trực tiếp cho vận tải đường bộ, trông giữ xe, kinh doanh nhà nghỉ, ăn uống giải khát. Các lĩnh vực này trong những năm qua liên tục tăng trưởng với doanh thu thuần hàng năm từ 65 – 68 tỷ đồng và lợi nhuận sau thuế từ 21 – 29 tỷ đồng. Tuy nhiên, sau nhiều năm tăng trưởng liên tục, đến nay các hoạt động này đang bão hòa và có dấu hiệu đi xuống, cùng với đó là xuất hiện các đối thủ cạnh tranh trực tiếp. Vì vậy, cần phải đầu tư các dự án, ngành nghề kinh doanh mới để duy trì sự phát triển của doanh nghiệp.</w:t>
      </w:r>
    </w:p>
    <w:p w:rsidR="00FC3B65" w:rsidRPr="00B15178" w:rsidRDefault="00FC3B65" w:rsidP="00FC3B65">
      <w:pPr>
        <w:spacing w:after="240" w:line="20" w:lineRule="atLeast"/>
        <w:ind w:left="720"/>
        <w:jc w:val="both"/>
        <w:rPr>
          <w:i/>
          <w:sz w:val="20"/>
          <w:szCs w:val="20"/>
        </w:rPr>
      </w:pPr>
      <w:r>
        <w:t>Tổng tài sản tại 31/12/2018 là trên 237 tỷ đồng, trong đó vốn chủ sở hữu là 212 tỷ đồng. Tuy nhiên, toàn bộ vốn chủ sở hữu này đã được đầu tư tài sản cố định, đầu tư vào các công ty con, công ty liên kết và góp vốn vào đơn vị khác. Đặc biệt chúng ta đã chứng minh vốn tự có của dự án 77 Lê Lợi – TP.Vinh. Do vậy, để triển khai các dự án giai đoạn 2 bến xe Bắc Vinh, bến xe Nam Vinh thì cần thiết phải tăng vốn để đáp ứng yêu cầu cồn tự có cho dự án đầu tư theo quy định của pháp luật.</w:t>
      </w:r>
      <w:r>
        <w:rPr>
          <w:b/>
          <w:iCs/>
          <w:sz w:val="20"/>
          <w:szCs w:val="20"/>
        </w:rPr>
        <w:t xml:space="preserve">  Tuy </w:t>
      </w:r>
    </w:p>
    <w:p w:rsidR="00FC3B65" w:rsidRPr="00B15178" w:rsidRDefault="00FC3B65" w:rsidP="00FC3B65">
      <w:pPr>
        <w:spacing w:before="240" w:after="120" w:line="20" w:lineRule="atLeast"/>
        <w:jc w:val="both"/>
        <w:rPr>
          <w:b/>
        </w:rPr>
      </w:pPr>
      <w:r w:rsidRPr="00B15178">
        <w:rPr>
          <w:b/>
        </w:rPr>
        <w:t>2.</w:t>
      </w:r>
      <w:r w:rsidRPr="00B15178">
        <w:rPr>
          <w:b/>
        </w:rPr>
        <w:tab/>
        <w:t>Mục đích tăng vốn</w:t>
      </w:r>
    </w:p>
    <w:p w:rsidR="00FC3B65" w:rsidRDefault="00FC3B65" w:rsidP="00FC3B65">
      <w:pPr>
        <w:spacing w:after="120" w:line="300" w:lineRule="exact"/>
        <w:ind w:left="720"/>
        <w:jc w:val="both"/>
      </w:pPr>
      <w:r w:rsidRPr="00B15178">
        <w:lastRenderedPageBreak/>
        <w:t xml:space="preserve">Mục đích của việc phát hành cổ phiếu tăng vốn điều lệ từ </w:t>
      </w:r>
      <w:r>
        <w:t>31,532</w:t>
      </w:r>
      <w:r w:rsidRPr="00B15178">
        <w:t xml:space="preserve"> tỷ đồng lên </w:t>
      </w:r>
      <w:r>
        <w:t>70</w:t>
      </w:r>
      <w:r w:rsidRPr="00B15178">
        <w:t xml:space="preserve"> tỷ đồng để đầu tư xây dựng</w:t>
      </w:r>
      <w:r>
        <w:t xml:space="preserve"> giai đoạn 2 bến xe Bắc Vinh và điều chỉnh thành 3 hạng mục là cây xăng dầu, trung tâm đăng kiểm, showroom ô tô. Tổng mức đầu tư của 3 hạng mục này dự kiến khoảng </w:t>
      </w:r>
      <w:r w:rsidRPr="00B15178">
        <w:rPr>
          <w:highlight w:val="yellow"/>
        </w:rPr>
        <w:t>69</w:t>
      </w:r>
      <w:r>
        <w:t xml:space="preserve"> tỷ đồng (trong đó đã đầu tư 8,6 tỷ đồng); đầu tư xây dựng bến xe Nam Vinh và điều chỉnh thành 3 hạng mục là bến xe loại 3, trạm dừng nghỉ và khách sạn. Tổng mức đầu tư của 3 hạng mục này dự kiến khoảng </w:t>
      </w:r>
      <w:r w:rsidRPr="00B15178">
        <w:rPr>
          <w:highlight w:val="yellow"/>
        </w:rPr>
        <w:t>158</w:t>
      </w:r>
      <w:r>
        <w:t xml:space="preserve"> tỷ (trong đó đã đầu tư 28,5 tỷ đồng). Như vậy, tổng mức đầu tư của cả 2 dự án là </w:t>
      </w:r>
      <w:r w:rsidRPr="00B15178">
        <w:rPr>
          <w:highlight w:val="yellow"/>
        </w:rPr>
        <w:t>227</w:t>
      </w:r>
      <w:r>
        <w:t xml:space="preserve"> tỷ đồng (trong đó đã đầu tư 37 tỷ đồng), số còn thiếu khoảng </w:t>
      </w:r>
      <w:r w:rsidRPr="00B15178">
        <w:rPr>
          <w:highlight w:val="yellow"/>
        </w:rPr>
        <w:t>190</w:t>
      </w:r>
      <w:r>
        <w:t xml:space="preserve"> tỷ đồng. Ngoài ra chúng ta vẫn còn tiếp tục triển khai dự án 77 Lê Lợi với số vốn đầu tư rất lớn</w:t>
      </w:r>
    </w:p>
    <w:p w:rsidR="00FC3B65" w:rsidRDefault="00FC3B65" w:rsidP="00FC3B65">
      <w:pPr>
        <w:spacing w:after="120" w:line="300" w:lineRule="exact"/>
        <w:ind w:left="720"/>
        <w:jc w:val="both"/>
      </w:pPr>
      <w:r>
        <w:t xml:space="preserve">Để đầu tư các dự án này, Công ty sẽ </w:t>
      </w:r>
      <w:r w:rsidRPr="00B15178">
        <w:t>phát hành cổ phần</w:t>
      </w:r>
      <w:r>
        <w:t xml:space="preserve"> để</w:t>
      </w:r>
      <w:r w:rsidRPr="00B15178">
        <w:t xml:space="preserve"> nâng vốn điều lệ từ</w:t>
      </w:r>
      <w:r w:rsidRPr="00CA1D81">
        <w:t xml:space="preserve"> </w:t>
      </w:r>
      <w:r>
        <w:t>31,532</w:t>
      </w:r>
      <w:r w:rsidRPr="00B15178">
        <w:t xml:space="preserve"> tỷ</w:t>
      </w:r>
      <w:r w:rsidRPr="00CA1D81">
        <w:t xml:space="preserve"> </w:t>
      </w:r>
      <w:r w:rsidRPr="00B15178">
        <w:t xml:space="preserve">lên </w:t>
      </w:r>
      <w:r>
        <w:t>70</w:t>
      </w:r>
      <w:r w:rsidRPr="00B15178">
        <w:t xml:space="preserve"> tỷ đồng</w:t>
      </w:r>
      <w:r>
        <w:t xml:space="preserve"> thông qua việc phát hành cổ phiếu mới cho cổ đông hiện hữu và cán bộ chủ chốt của Công ty để huy động vốn. Phần còn lại sẽ huy động từ vốn vay. </w:t>
      </w:r>
    </w:p>
    <w:tbl>
      <w:tblPr>
        <w:tblW w:w="0" w:type="auto"/>
        <w:tblInd w:w="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30"/>
        <w:gridCol w:w="2763"/>
        <w:tblGridChange w:id="0">
          <w:tblGrid>
            <w:gridCol w:w="5130"/>
            <w:gridCol w:w="2763"/>
          </w:tblGrid>
        </w:tblGridChange>
      </w:tblGrid>
      <w:tr w:rsidR="00FC3B65" w:rsidTr="00B15178">
        <w:tc>
          <w:tcPr>
            <w:tcW w:w="5130" w:type="dxa"/>
            <w:tcBorders>
              <w:top w:val="single" w:sz="4" w:space="0" w:color="auto"/>
              <w:left w:val="nil"/>
              <w:bottom w:val="single" w:sz="4" w:space="0" w:color="auto"/>
              <w:right w:val="nil"/>
            </w:tcBorders>
          </w:tcPr>
          <w:p w:rsidR="00FC3B65" w:rsidRPr="000E229B" w:rsidRDefault="00FC3B65" w:rsidP="00B15178">
            <w:pPr>
              <w:spacing w:after="120" w:line="300" w:lineRule="exact"/>
              <w:jc w:val="both"/>
              <w:rPr>
                <w:b/>
              </w:rPr>
            </w:pPr>
            <w:r w:rsidRPr="000E229B">
              <w:rPr>
                <w:b/>
              </w:rPr>
              <w:t>Nguồn vốn</w:t>
            </w:r>
          </w:p>
        </w:tc>
        <w:tc>
          <w:tcPr>
            <w:tcW w:w="2763" w:type="dxa"/>
            <w:tcBorders>
              <w:top w:val="single" w:sz="4" w:space="0" w:color="auto"/>
              <w:left w:val="nil"/>
              <w:bottom w:val="single" w:sz="4" w:space="0" w:color="auto"/>
              <w:right w:val="nil"/>
            </w:tcBorders>
          </w:tcPr>
          <w:p w:rsidR="00FC3B65" w:rsidRPr="000E229B" w:rsidRDefault="00FC3B65" w:rsidP="00B15178">
            <w:pPr>
              <w:spacing w:after="120" w:line="300" w:lineRule="exact"/>
              <w:jc w:val="center"/>
              <w:rPr>
                <w:b/>
              </w:rPr>
            </w:pPr>
            <w:r w:rsidRPr="000E229B">
              <w:rPr>
                <w:b/>
              </w:rPr>
              <w:t>Giá trị  (VNĐ)</w:t>
            </w:r>
          </w:p>
        </w:tc>
      </w:tr>
      <w:tr w:rsidR="00FC3B65" w:rsidTr="00B15178">
        <w:tc>
          <w:tcPr>
            <w:tcW w:w="5130" w:type="dxa"/>
            <w:tcBorders>
              <w:top w:val="single" w:sz="4" w:space="0" w:color="auto"/>
              <w:left w:val="nil"/>
            </w:tcBorders>
          </w:tcPr>
          <w:p w:rsidR="00FC3B65" w:rsidRDefault="00FC3B65" w:rsidP="00B15178">
            <w:pPr>
              <w:spacing w:after="120" w:line="300" w:lineRule="exact"/>
              <w:jc w:val="both"/>
            </w:pPr>
            <w:r>
              <w:t>Vốn tự có đã đầu tư</w:t>
            </w:r>
          </w:p>
        </w:tc>
        <w:tc>
          <w:tcPr>
            <w:tcW w:w="2763" w:type="dxa"/>
            <w:tcBorders>
              <w:top w:val="single" w:sz="4" w:space="0" w:color="auto"/>
              <w:right w:val="nil"/>
            </w:tcBorders>
          </w:tcPr>
          <w:p w:rsidR="00FC3B65" w:rsidRDefault="00FC3B65" w:rsidP="00B15178">
            <w:pPr>
              <w:spacing w:after="120" w:line="300" w:lineRule="exact"/>
              <w:jc w:val="center"/>
            </w:pPr>
            <w:r>
              <w:t>37.000.000.000</w:t>
            </w:r>
          </w:p>
        </w:tc>
      </w:tr>
      <w:tr w:rsidR="00FC3B65" w:rsidTr="00B15178">
        <w:tc>
          <w:tcPr>
            <w:tcW w:w="5130" w:type="dxa"/>
            <w:tcBorders>
              <w:left w:val="nil"/>
            </w:tcBorders>
          </w:tcPr>
          <w:p w:rsidR="00FC3B65" w:rsidRDefault="00FC3B65" w:rsidP="00B15178">
            <w:pPr>
              <w:spacing w:after="120" w:line="300" w:lineRule="exact"/>
              <w:jc w:val="both"/>
            </w:pPr>
            <w:r>
              <w:t>Nguồn vốn dự kiến huy động từ đợt phát hành này</w:t>
            </w:r>
          </w:p>
        </w:tc>
        <w:tc>
          <w:tcPr>
            <w:tcW w:w="2763" w:type="dxa"/>
            <w:tcBorders>
              <w:right w:val="nil"/>
            </w:tcBorders>
          </w:tcPr>
          <w:p w:rsidR="00FC3B65" w:rsidRDefault="00FC3B65" w:rsidP="00B15178">
            <w:pPr>
              <w:spacing w:after="120" w:line="300" w:lineRule="exact"/>
              <w:jc w:val="center"/>
            </w:pPr>
            <w:r>
              <w:t>38.468.000.000</w:t>
            </w:r>
          </w:p>
        </w:tc>
      </w:tr>
      <w:tr w:rsidR="00FC3B65" w:rsidTr="00B15178">
        <w:tc>
          <w:tcPr>
            <w:tcW w:w="5130" w:type="dxa"/>
            <w:tcBorders>
              <w:left w:val="nil"/>
              <w:bottom w:val="single" w:sz="4" w:space="0" w:color="auto"/>
            </w:tcBorders>
          </w:tcPr>
          <w:p w:rsidR="00FC3B65" w:rsidRDefault="00FC3B65" w:rsidP="00B15178">
            <w:pPr>
              <w:spacing w:after="120" w:line="300" w:lineRule="exact"/>
              <w:jc w:val="both"/>
            </w:pPr>
            <w:r>
              <w:t xml:space="preserve">Vay </w:t>
            </w:r>
            <w:r w:rsidRPr="00B15178">
              <w:rPr>
                <w:i/>
              </w:rPr>
              <w:t>(chiếm 6</w:t>
            </w:r>
            <w:r>
              <w:rPr>
                <w:i/>
              </w:rPr>
              <w:t>6</w:t>
            </w:r>
            <w:r w:rsidRPr="00B15178">
              <w:rPr>
                <w:i/>
              </w:rPr>
              <w:t>,</w:t>
            </w:r>
            <w:r>
              <w:rPr>
                <w:i/>
              </w:rPr>
              <w:t>75</w:t>
            </w:r>
            <w:r w:rsidRPr="00B15178">
              <w:rPr>
                <w:i/>
              </w:rPr>
              <w:t>% tổng mức đầu tư)</w:t>
            </w:r>
          </w:p>
        </w:tc>
        <w:tc>
          <w:tcPr>
            <w:tcW w:w="2763" w:type="dxa"/>
            <w:tcBorders>
              <w:bottom w:val="single" w:sz="4" w:space="0" w:color="auto"/>
              <w:right w:val="nil"/>
            </w:tcBorders>
          </w:tcPr>
          <w:p w:rsidR="00FC3B65" w:rsidRDefault="00FC3B65" w:rsidP="00B15178">
            <w:pPr>
              <w:spacing w:after="120" w:line="300" w:lineRule="exact"/>
              <w:jc w:val="center"/>
            </w:pPr>
            <w:r>
              <w:t>151.532.000.000</w:t>
            </w:r>
          </w:p>
        </w:tc>
      </w:tr>
      <w:tr w:rsidR="00FC3B65" w:rsidTr="00B15178">
        <w:tc>
          <w:tcPr>
            <w:tcW w:w="5130" w:type="dxa"/>
            <w:tcBorders>
              <w:top w:val="single" w:sz="4" w:space="0" w:color="auto"/>
              <w:left w:val="nil"/>
              <w:bottom w:val="single" w:sz="4" w:space="0" w:color="auto"/>
              <w:right w:val="nil"/>
            </w:tcBorders>
          </w:tcPr>
          <w:p w:rsidR="00FC3B65" w:rsidRPr="000E229B" w:rsidRDefault="00FC3B65" w:rsidP="00B15178">
            <w:pPr>
              <w:spacing w:after="120" w:line="300" w:lineRule="exact"/>
              <w:jc w:val="both"/>
              <w:rPr>
                <w:b/>
              </w:rPr>
            </w:pPr>
            <w:r w:rsidRPr="000E229B">
              <w:rPr>
                <w:b/>
              </w:rPr>
              <w:t>Tổng</w:t>
            </w:r>
          </w:p>
        </w:tc>
        <w:tc>
          <w:tcPr>
            <w:tcW w:w="2763" w:type="dxa"/>
            <w:tcBorders>
              <w:top w:val="single" w:sz="4" w:space="0" w:color="auto"/>
              <w:left w:val="nil"/>
              <w:bottom w:val="single" w:sz="4" w:space="0" w:color="auto"/>
              <w:right w:val="nil"/>
            </w:tcBorders>
          </w:tcPr>
          <w:p w:rsidR="00FC3B65" w:rsidRPr="000E229B" w:rsidRDefault="00FC3B65" w:rsidP="00B15178">
            <w:pPr>
              <w:spacing w:after="120" w:line="300" w:lineRule="exact"/>
              <w:jc w:val="center"/>
              <w:rPr>
                <w:b/>
              </w:rPr>
            </w:pPr>
            <w:r>
              <w:rPr>
                <w:b/>
              </w:rPr>
              <w:t>227</w:t>
            </w:r>
            <w:r w:rsidRPr="000E229B">
              <w:rPr>
                <w:b/>
              </w:rPr>
              <w:t>.000.000.000</w:t>
            </w:r>
          </w:p>
        </w:tc>
      </w:tr>
    </w:tbl>
    <w:p w:rsidR="00FC3B65" w:rsidRDefault="00FC3B65" w:rsidP="00FC3B65">
      <w:pPr>
        <w:spacing w:after="120" w:line="300" w:lineRule="exact"/>
        <w:ind w:left="720"/>
        <w:jc w:val="both"/>
      </w:pPr>
    </w:p>
    <w:p w:rsidR="00FC3B65" w:rsidRDefault="00FC3B65" w:rsidP="00FC3B65">
      <w:pPr>
        <w:spacing w:after="120" w:line="300" w:lineRule="exact"/>
        <w:jc w:val="both"/>
        <w:rPr>
          <w:b/>
        </w:rPr>
      </w:pPr>
      <w:r>
        <w:rPr>
          <w:b/>
        </w:rPr>
        <w:t>III.</w:t>
      </w:r>
      <w:r>
        <w:rPr>
          <w:b/>
        </w:rPr>
        <w:tab/>
        <w:t>PHƯƠNG ÁN PH</w:t>
      </w:r>
      <w:r w:rsidRPr="006C5085">
        <w:rPr>
          <w:b/>
        </w:rPr>
        <w:t>Á</w:t>
      </w:r>
      <w:r>
        <w:rPr>
          <w:b/>
        </w:rPr>
        <w:t>T H</w:t>
      </w:r>
      <w:r w:rsidRPr="006C5085">
        <w:rPr>
          <w:b/>
        </w:rPr>
        <w:t>À</w:t>
      </w:r>
      <w:r>
        <w:rPr>
          <w:b/>
        </w:rPr>
        <w:t xml:space="preserve">NH </w:t>
      </w:r>
    </w:p>
    <w:p w:rsidR="00FC3B65" w:rsidRPr="00BF4FCF" w:rsidRDefault="00FC3B65" w:rsidP="00FC3B65">
      <w:pPr>
        <w:spacing w:after="120" w:line="300" w:lineRule="exact"/>
        <w:ind w:left="720" w:hanging="720"/>
        <w:jc w:val="both"/>
        <w:rPr>
          <w:b/>
          <w:bCs/>
        </w:rPr>
      </w:pPr>
      <w:r w:rsidRPr="00244F70">
        <w:rPr>
          <w:b/>
          <w:bCs/>
        </w:rPr>
        <w:t xml:space="preserve">1. </w:t>
      </w:r>
      <w:r w:rsidRPr="00244F70">
        <w:rPr>
          <w:b/>
          <w:bCs/>
        </w:rPr>
        <w:tab/>
        <w:t xml:space="preserve">Thông tin về </w:t>
      </w:r>
      <w:r>
        <w:rPr>
          <w:b/>
          <w:bCs/>
        </w:rPr>
        <w:t>C</w:t>
      </w:r>
      <w:r w:rsidRPr="00BF4FCF">
        <w:rPr>
          <w:b/>
          <w:bCs/>
        </w:rPr>
        <w:t>ô</w:t>
      </w:r>
      <w:r>
        <w:rPr>
          <w:b/>
          <w:bCs/>
        </w:rPr>
        <w:t>ng ty c</w:t>
      </w:r>
      <w:r w:rsidRPr="00BF4FCF">
        <w:rPr>
          <w:b/>
          <w:bCs/>
        </w:rPr>
        <w:t>ổ</w:t>
      </w:r>
      <w:r>
        <w:rPr>
          <w:b/>
          <w:bCs/>
        </w:rPr>
        <w:t xml:space="preserve"> ph</w:t>
      </w:r>
      <w:r w:rsidRPr="00BF4FCF">
        <w:rPr>
          <w:b/>
          <w:bCs/>
        </w:rPr>
        <w:t>ầ</w:t>
      </w:r>
      <w:r>
        <w:rPr>
          <w:b/>
          <w:bCs/>
        </w:rPr>
        <w:t>n Bến xe Nghệ An</w:t>
      </w:r>
    </w:p>
    <w:p w:rsidR="00FC3B65" w:rsidRDefault="00FC3B65" w:rsidP="00FC3B65">
      <w:pPr>
        <w:tabs>
          <w:tab w:val="left" w:pos="720"/>
          <w:tab w:val="left" w:pos="4680"/>
        </w:tabs>
        <w:spacing w:after="120" w:line="300" w:lineRule="exact"/>
        <w:ind w:left="4680" w:hanging="4680"/>
        <w:jc w:val="both"/>
      </w:pPr>
      <w:r>
        <w:t>1.1</w:t>
      </w:r>
      <w:r>
        <w:tab/>
        <w:t>T</w:t>
      </w:r>
      <w:r w:rsidRPr="000C7453">
        <w:t>ê</w:t>
      </w:r>
      <w:r>
        <w:t>n c</w:t>
      </w:r>
      <w:r w:rsidRPr="000C7453">
        <w:t>ổ</w:t>
      </w:r>
      <w:r>
        <w:t xml:space="preserve"> phi</w:t>
      </w:r>
      <w:r w:rsidRPr="000C7453">
        <w:t>ếu</w:t>
      </w:r>
      <w:r>
        <w:t>:</w:t>
      </w:r>
      <w:r>
        <w:tab/>
        <w:t>C</w:t>
      </w:r>
      <w:r w:rsidRPr="00894C29">
        <w:t>ổ</w:t>
      </w:r>
      <w:r>
        <w:t xml:space="preserve"> phi</w:t>
      </w:r>
      <w:r w:rsidRPr="00894C29">
        <w:t>ế</w:t>
      </w:r>
      <w:r>
        <w:t>u C</w:t>
      </w:r>
      <w:r w:rsidRPr="00894C29">
        <w:t>ô</w:t>
      </w:r>
      <w:r>
        <w:t>ng ty c</w:t>
      </w:r>
      <w:r w:rsidRPr="00894C29">
        <w:t>ổ</w:t>
      </w:r>
      <w:r>
        <w:t xml:space="preserve"> ph</w:t>
      </w:r>
      <w:r w:rsidRPr="00894C29">
        <w:t>ầ</w:t>
      </w:r>
      <w:r>
        <w:t>n bến xe Nghệ An</w:t>
      </w:r>
    </w:p>
    <w:p w:rsidR="00FC3B65" w:rsidRDefault="00FC3B65" w:rsidP="00FC3B65">
      <w:pPr>
        <w:tabs>
          <w:tab w:val="left" w:pos="720"/>
          <w:tab w:val="left" w:pos="4680"/>
        </w:tabs>
        <w:spacing w:after="120" w:line="300" w:lineRule="exact"/>
        <w:ind w:left="4680" w:hanging="4680"/>
        <w:jc w:val="both"/>
      </w:pPr>
      <w:r>
        <w:t>1.2</w:t>
      </w:r>
      <w:r>
        <w:tab/>
        <w:t>Mã cổ phiếu:</w:t>
      </w:r>
      <w:r>
        <w:tab/>
      </w:r>
      <w:r w:rsidRPr="00B15178">
        <w:rPr>
          <w:b/>
        </w:rPr>
        <w:t>“NBS”</w:t>
      </w:r>
    </w:p>
    <w:p w:rsidR="00FC3B65" w:rsidRPr="001D6932" w:rsidRDefault="00FC3B65" w:rsidP="00FC3B65">
      <w:pPr>
        <w:tabs>
          <w:tab w:val="left" w:pos="720"/>
        </w:tabs>
        <w:spacing w:after="120" w:line="300" w:lineRule="exact"/>
        <w:ind w:left="4680" w:hanging="4680"/>
        <w:jc w:val="both"/>
        <w:rPr>
          <w:i/>
        </w:rPr>
      </w:pPr>
      <w:r>
        <w:t>1.3</w:t>
      </w:r>
      <w:r>
        <w:tab/>
        <w:t>M</w:t>
      </w:r>
      <w:r w:rsidRPr="000C7453">
        <w:t>ệnh</w:t>
      </w:r>
      <w:r>
        <w:t xml:space="preserve"> gi</w:t>
      </w:r>
      <w:r w:rsidRPr="000C7453">
        <w:t>á</w:t>
      </w:r>
      <w:r>
        <w:t>:</w:t>
      </w:r>
      <w:r>
        <w:tab/>
      </w:r>
      <w:r w:rsidRPr="001D6932">
        <w:t xml:space="preserve">10.000 VNĐ/01 cổ phần </w:t>
      </w:r>
      <w:r w:rsidRPr="001D6932">
        <w:rPr>
          <w:i/>
        </w:rPr>
        <w:t>(</w:t>
      </w:r>
      <w:r>
        <w:rPr>
          <w:i/>
        </w:rPr>
        <w:t>Mười</w:t>
      </w:r>
      <w:r w:rsidRPr="001D6932">
        <w:rPr>
          <w:i/>
        </w:rPr>
        <w:t xml:space="preserve"> nghìn đồng/Cổ phần)</w:t>
      </w:r>
    </w:p>
    <w:p w:rsidR="00FC3B65" w:rsidRDefault="00FC3B65" w:rsidP="00FC3B65">
      <w:pPr>
        <w:tabs>
          <w:tab w:val="left" w:pos="720"/>
        </w:tabs>
        <w:spacing w:after="120" w:line="300" w:lineRule="exact"/>
        <w:ind w:left="4680" w:hanging="4680"/>
        <w:jc w:val="both"/>
      </w:pPr>
      <w:r>
        <w:t>1.4</w:t>
      </w:r>
      <w:r>
        <w:tab/>
        <w:t>Lo</w:t>
      </w:r>
      <w:r w:rsidRPr="000C7453">
        <w:t>ại</w:t>
      </w:r>
      <w:r>
        <w:t xml:space="preserve"> c</w:t>
      </w:r>
      <w:r w:rsidRPr="000C7453">
        <w:t>ổ</w:t>
      </w:r>
      <w:r>
        <w:t xml:space="preserve"> ph</w:t>
      </w:r>
      <w:r w:rsidRPr="000C7453">
        <w:t>ần</w:t>
      </w:r>
      <w:r>
        <w:t>:</w:t>
      </w:r>
      <w:r>
        <w:tab/>
        <w:t>C</w:t>
      </w:r>
      <w:r w:rsidRPr="000C7453">
        <w:t>ổ</w:t>
      </w:r>
      <w:r>
        <w:t xml:space="preserve"> ph</w:t>
      </w:r>
      <w:r w:rsidRPr="000C7453">
        <w:t>ần</w:t>
      </w:r>
      <w:r>
        <w:t xml:space="preserve"> ph</w:t>
      </w:r>
      <w:r w:rsidRPr="000C7453">
        <w:t>ổ</w:t>
      </w:r>
      <w:r>
        <w:t xml:space="preserve"> th</w:t>
      </w:r>
      <w:r w:rsidRPr="000C7453">
        <w:t>ô</w:t>
      </w:r>
      <w:r>
        <w:t>ng</w:t>
      </w:r>
    </w:p>
    <w:p w:rsidR="00FC3B65" w:rsidRPr="00074292" w:rsidRDefault="00FC3B65" w:rsidP="00FC3B65">
      <w:pPr>
        <w:tabs>
          <w:tab w:val="left" w:pos="720"/>
        </w:tabs>
        <w:spacing w:after="120" w:line="300" w:lineRule="exact"/>
        <w:ind w:left="4680" w:hanging="4680"/>
        <w:jc w:val="both"/>
      </w:pPr>
      <w:r>
        <w:t>1.5</w:t>
      </w:r>
      <w:r>
        <w:tab/>
        <w:t>S</w:t>
      </w:r>
      <w:r w:rsidRPr="00787135">
        <w:t>ố</w:t>
      </w:r>
      <w:r>
        <w:t xml:space="preserve"> l</w:t>
      </w:r>
      <w:r w:rsidRPr="00787135">
        <w:t>ượn</w:t>
      </w:r>
      <w:r>
        <w:t>g c</w:t>
      </w:r>
      <w:r w:rsidRPr="00787135">
        <w:t>ổ</w:t>
      </w:r>
      <w:r>
        <w:t xml:space="preserve"> ph</w:t>
      </w:r>
      <w:r w:rsidRPr="00787135">
        <w:t>ầ</w:t>
      </w:r>
      <w:r>
        <w:t>n tr</w:t>
      </w:r>
      <w:r w:rsidRPr="00787135">
        <w:t>ước</w:t>
      </w:r>
      <w:r>
        <w:t xml:space="preserve"> </w:t>
      </w:r>
      <w:r w:rsidRPr="00787135">
        <w:t>đợt</w:t>
      </w:r>
      <w:r>
        <w:t xml:space="preserve"> ph</w:t>
      </w:r>
      <w:r w:rsidRPr="00787135">
        <w:t>á</w:t>
      </w:r>
      <w:r>
        <w:t>t h</w:t>
      </w:r>
      <w:r w:rsidRPr="00787135">
        <w:t>à</w:t>
      </w:r>
      <w:r>
        <w:t>nh:</w:t>
      </w:r>
      <w:r>
        <w:tab/>
        <w:t>3.153.200 c</w:t>
      </w:r>
      <w:r w:rsidRPr="00787135">
        <w:t>ổ</w:t>
      </w:r>
      <w:r>
        <w:t xml:space="preserve"> ph</w:t>
      </w:r>
      <w:r w:rsidRPr="00787135">
        <w:t>ầ</w:t>
      </w:r>
      <w:r>
        <w:t xml:space="preserve">n </w:t>
      </w:r>
      <w:r w:rsidRPr="00952E89">
        <w:rPr>
          <w:i/>
        </w:rPr>
        <w:t>(</w:t>
      </w:r>
      <w:r>
        <w:rPr>
          <w:i/>
        </w:rPr>
        <w:t>Ba triệu, một trăm năm ba nghìn hai trăm cổ phần</w:t>
      </w:r>
      <w:r w:rsidRPr="00952E89">
        <w:rPr>
          <w:i/>
        </w:rPr>
        <w:t>)</w:t>
      </w:r>
    </w:p>
    <w:p w:rsidR="00FC3B65" w:rsidRPr="00B15178" w:rsidRDefault="00FC3B65" w:rsidP="00FC3B65">
      <w:pPr>
        <w:tabs>
          <w:tab w:val="left" w:pos="720"/>
        </w:tabs>
        <w:spacing w:after="120" w:line="300" w:lineRule="exact"/>
        <w:ind w:left="4680" w:hanging="4680"/>
        <w:jc w:val="both"/>
        <w:rPr>
          <w:b/>
          <w:bCs/>
        </w:rPr>
      </w:pPr>
      <w:r w:rsidRPr="00B15178">
        <w:rPr>
          <w:b/>
        </w:rPr>
        <w:t xml:space="preserve">2. </w:t>
      </w:r>
      <w:r w:rsidRPr="00B15178">
        <w:rPr>
          <w:b/>
        </w:rPr>
        <w:tab/>
      </w:r>
      <w:r w:rsidRPr="00B15178">
        <w:rPr>
          <w:b/>
          <w:bCs/>
        </w:rPr>
        <w:t>Phương án phát hành</w:t>
      </w:r>
    </w:p>
    <w:p w:rsidR="00FC3B65" w:rsidRDefault="00FC3B65" w:rsidP="00FC3B65">
      <w:pPr>
        <w:spacing w:after="240"/>
        <w:ind w:left="720"/>
        <w:jc w:val="both"/>
        <w:rPr>
          <w:i/>
        </w:rPr>
      </w:pPr>
      <w:r>
        <w:t>- S</w:t>
      </w:r>
      <w:r w:rsidRPr="008925B7">
        <w:t>ố</w:t>
      </w:r>
      <w:r>
        <w:t xml:space="preserve"> l</w:t>
      </w:r>
      <w:r w:rsidRPr="008925B7">
        <w:t>ượng</w:t>
      </w:r>
      <w:r>
        <w:t xml:space="preserve"> cổ phiếu ph</w:t>
      </w:r>
      <w:r w:rsidRPr="008925B7">
        <w:t>át</w:t>
      </w:r>
      <w:r>
        <w:t xml:space="preserve"> h</w:t>
      </w:r>
      <w:r w:rsidRPr="008925B7">
        <w:t>ành</w:t>
      </w:r>
      <w:r>
        <w:t xml:space="preserve"> m</w:t>
      </w:r>
      <w:r w:rsidRPr="00D71BEC">
        <w:t>ới</w:t>
      </w:r>
      <w:r>
        <w:t xml:space="preserve"> n</w:t>
      </w:r>
      <w:r w:rsidRPr="008925B7">
        <w:t>ă</w:t>
      </w:r>
      <w:r>
        <w:t>m 2019 là: 3.846.800 c</w:t>
      </w:r>
      <w:r w:rsidRPr="008925B7">
        <w:t>ổ</w:t>
      </w:r>
      <w:r>
        <w:t xml:space="preserve"> ph</w:t>
      </w:r>
      <w:r w:rsidRPr="008925B7">
        <w:t>ần</w:t>
      </w:r>
      <w:r>
        <w:t xml:space="preserve"> </w:t>
      </w:r>
      <w:r w:rsidRPr="002E3621">
        <w:rPr>
          <w:i/>
        </w:rPr>
        <w:t>(</w:t>
      </w:r>
      <w:r>
        <w:rPr>
          <w:i/>
        </w:rPr>
        <w:t>Ba triệu, tám trăm, bốn mươi sáu nghìn, tám trăm cổ phần</w:t>
      </w:r>
      <w:r w:rsidRPr="002E3621">
        <w:rPr>
          <w:i/>
        </w:rPr>
        <w:t>)</w:t>
      </w:r>
    </w:p>
    <w:p w:rsidR="00FC3B65" w:rsidRDefault="00FC3B65" w:rsidP="00FC3B65">
      <w:pPr>
        <w:spacing w:after="120" w:line="300" w:lineRule="exact"/>
        <w:ind w:left="720"/>
        <w:jc w:val="both"/>
      </w:pPr>
      <w:r>
        <w:t>- Loại cổ phần chào bán: Cổ phần phổ thông, không hạn chế chuyển nhượng</w:t>
      </w:r>
    </w:p>
    <w:p w:rsidR="00FC3B65" w:rsidRDefault="00FC3B65" w:rsidP="00FC3B65">
      <w:pPr>
        <w:spacing w:after="240"/>
        <w:ind w:left="720"/>
        <w:jc w:val="both"/>
      </w:pPr>
      <w:r>
        <w:t>- Mệnh giá 10.000 đồng/cổ phần</w:t>
      </w:r>
    </w:p>
    <w:p w:rsidR="00FC3B65" w:rsidRDefault="00FC3B65" w:rsidP="00FC3B65">
      <w:pPr>
        <w:spacing w:after="240"/>
        <w:ind w:left="720"/>
        <w:jc w:val="both"/>
      </w:pPr>
      <w:r>
        <w:t>- S</w:t>
      </w:r>
      <w:r w:rsidRPr="007D6828">
        <w:t>ố</w:t>
      </w:r>
      <w:r>
        <w:t xml:space="preserve"> l</w:t>
      </w:r>
      <w:r w:rsidRPr="007D6828">
        <w:t>ượng</w:t>
      </w:r>
      <w:r>
        <w:t xml:space="preserve"> c</w:t>
      </w:r>
      <w:r w:rsidRPr="007D6828">
        <w:t>ổ</w:t>
      </w:r>
      <w:r>
        <w:t xml:space="preserve"> ph</w:t>
      </w:r>
      <w:r w:rsidRPr="00B27A56">
        <w:t>ần</w:t>
      </w:r>
      <w:r>
        <w:t xml:space="preserve"> sau </w:t>
      </w:r>
      <w:r w:rsidRPr="007D6828">
        <w:t>đợt</w:t>
      </w:r>
      <w:r>
        <w:t xml:space="preserve"> ph</w:t>
      </w:r>
      <w:r w:rsidRPr="007D6828">
        <w:t>át</w:t>
      </w:r>
      <w:r>
        <w:t xml:space="preserve"> h</w:t>
      </w:r>
      <w:r w:rsidRPr="007D6828">
        <w:t>à</w:t>
      </w:r>
      <w:r>
        <w:t>nh: 7.000.000 c</w:t>
      </w:r>
      <w:r w:rsidRPr="007D6828">
        <w:t>ổ</w:t>
      </w:r>
      <w:r>
        <w:t xml:space="preserve"> ph</w:t>
      </w:r>
      <w:r w:rsidRPr="007D6828">
        <w:t>ần</w:t>
      </w:r>
      <w:r>
        <w:t xml:space="preserve"> </w:t>
      </w:r>
      <w:r w:rsidRPr="00B70D04">
        <w:rPr>
          <w:i/>
        </w:rPr>
        <w:t>(</w:t>
      </w:r>
      <w:r>
        <w:rPr>
          <w:i/>
        </w:rPr>
        <w:t xml:space="preserve">Bảy triệu </w:t>
      </w:r>
      <w:r w:rsidRPr="00B70D04">
        <w:rPr>
          <w:i/>
        </w:rPr>
        <w:t>cổ phần)</w:t>
      </w:r>
    </w:p>
    <w:p w:rsidR="00FC3B65" w:rsidRDefault="00FC3B65" w:rsidP="00FC3B65">
      <w:pPr>
        <w:spacing w:after="240"/>
        <w:ind w:firstLine="720"/>
        <w:jc w:val="both"/>
      </w:pPr>
      <w:r>
        <w:t>- Vốn điều lệ sau khi phát hành là: 70.000.000.000 đồng (Bảy mươi tỷ đồng chẵn)</w:t>
      </w:r>
    </w:p>
    <w:p w:rsidR="00FC3B65" w:rsidRPr="00042789" w:rsidRDefault="00FC3B65" w:rsidP="00FC3B65">
      <w:pPr>
        <w:spacing w:after="240"/>
        <w:ind w:left="720"/>
        <w:jc w:val="both"/>
      </w:pPr>
      <w:r>
        <w:lastRenderedPageBreak/>
        <w:t>- Thời điểm phát hành: Do HĐQT quyết định</w:t>
      </w:r>
    </w:p>
    <w:p w:rsidR="00FC3B65" w:rsidRDefault="00FC3B65" w:rsidP="00FC3B65">
      <w:pPr>
        <w:spacing w:after="240"/>
        <w:ind w:left="720"/>
        <w:jc w:val="both"/>
      </w:pPr>
      <w:r>
        <w:t>2.1 Hình thức phát hành</w:t>
      </w:r>
    </w:p>
    <w:p w:rsidR="00FC3B65" w:rsidRDefault="00FC3B65" w:rsidP="00FC3B65">
      <w:pPr>
        <w:spacing w:after="240"/>
        <w:ind w:left="720"/>
        <w:jc w:val="both"/>
      </w:pPr>
      <w:r>
        <w:t>- Phát hành cho cổ đông hiện hữu tỷ lệ 1:1,2199 làm tròn là 1:1,22 (cổ đông sở hữu 1 cổ phiếu cũ được quyền mua 1,22 cổ phiếu mới):</w:t>
      </w:r>
      <w:r>
        <w:tab/>
        <w:t>3.846.800 cổ phần</w:t>
      </w:r>
    </w:p>
    <w:p w:rsidR="00FC3B65" w:rsidRDefault="00FC3B65" w:rsidP="00FC3B65">
      <w:pPr>
        <w:tabs>
          <w:tab w:val="left" w:pos="720"/>
        </w:tabs>
        <w:spacing w:after="120" w:line="300" w:lineRule="exact"/>
        <w:ind w:left="4680" w:hanging="4680"/>
        <w:jc w:val="both"/>
      </w:pPr>
      <w:r>
        <w:tab/>
        <w:t>- Giá phát hành: 10.000 đồng/cổ phần</w:t>
      </w:r>
    </w:p>
    <w:p w:rsidR="00FC3B65" w:rsidRDefault="00FC3B65" w:rsidP="00FC3B65">
      <w:pPr>
        <w:tabs>
          <w:tab w:val="left" w:pos="720"/>
        </w:tabs>
        <w:spacing w:after="120" w:line="300" w:lineRule="exact"/>
        <w:ind w:left="4680" w:hanging="4680"/>
        <w:jc w:val="both"/>
      </w:pPr>
      <w:r>
        <w:tab/>
        <w:t>- Dự kiến số tiền thu được là: 38.468.000.000 đồng</w:t>
      </w:r>
      <w:r>
        <w:tab/>
      </w:r>
    </w:p>
    <w:p w:rsidR="00FC3B65" w:rsidRDefault="00FC3B65" w:rsidP="00FC3B65">
      <w:pPr>
        <w:spacing w:after="120" w:line="300" w:lineRule="exact"/>
        <w:ind w:left="720"/>
        <w:jc w:val="both"/>
      </w:pPr>
      <w:r>
        <w:t>2.2 Chuyển nhượng quyền mua</w:t>
      </w:r>
    </w:p>
    <w:p w:rsidR="00FC3B65" w:rsidRPr="008827B8" w:rsidRDefault="00FC3B65" w:rsidP="00FC3B65">
      <w:pPr>
        <w:spacing w:after="120" w:line="300" w:lineRule="exact"/>
        <w:ind w:left="720"/>
        <w:jc w:val="both"/>
      </w:pPr>
      <w:r>
        <w:t>Những người có tên trong danh sách được mua cổ phần</w:t>
      </w:r>
      <w:r w:rsidRPr="005E17D2">
        <w:t xml:space="preserve"> </w:t>
      </w:r>
      <w:r w:rsidRPr="005C7B14">
        <w:t>có quyền chuyển nhượng quyền mua cổ phần của mình cho người khác trong thời gian quy định</w:t>
      </w:r>
      <w:r w:rsidRPr="005E17D2">
        <w:t xml:space="preserve"> và chỉ chuyển nhượng 01 lần (không được chuyển nhượng cho người thứ ba). Bên chuyển nhượng và Bên nhận chuyển nhượng tự thoả thuận mức giá chuyển nhượng và thanh toán tiền chuyển nhượng quyền.</w:t>
      </w:r>
      <w:r w:rsidRPr="008827B8">
        <w:t xml:space="preserve"> </w:t>
      </w:r>
    </w:p>
    <w:p w:rsidR="00FC3B65" w:rsidRDefault="00FC3B65" w:rsidP="00FC3B65">
      <w:pPr>
        <w:spacing w:after="120" w:line="300" w:lineRule="exact"/>
        <w:ind w:left="720"/>
        <w:jc w:val="both"/>
      </w:pPr>
      <w:r>
        <w:t>Th</w:t>
      </w:r>
      <w:r w:rsidRPr="007C791B">
        <w:t>ờ</w:t>
      </w:r>
      <w:r>
        <w:t>i h</w:t>
      </w:r>
      <w:r w:rsidRPr="007C791B">
        <w:t>ạn</w:t>
      </w:r>
      <w:r>
        <w:t xml:space="preserve"> và thủ tục cho vi</w:t>
      </w:r>
      <w:r w:rsidRPr="007C791B">
        <w:t>ệc</w:t>
      </w:r>
      <w:r>
        <w:t xml:space="preserve"> chuy</w:t>
      </w:r>
      <w:r w:rsidRPr="007C791B">
        <w:t>ể</w:t>
      </w:r>
      <w:r>
        <w:t>n quy</w:t>
      </w:r>
      <w:r w:rsidRPr="007C791B">
        <w:t>ề</w:t>
      </w:r>
      <w:r>
        <w:t>n n</w:t>
      </w:r>
      <w:r w:rsidRPr="007C791B">
        <w:t>à</w:t>
      </w:r>
      <w:r>
        <w:t>y s</w:t>
      </w:r>
      <w:r w:rsidRPr="007C791B">
        <w:t>ẽ</w:t>
      </w:r>
      <w:r>
        <w:t xml:space="preserve"> </w:t>
      </w:r>
      <w:r w:rsidRPr="007C791B">
        <w:t>được</w:t>
      </w:r>
      <w:r>
        <w:t xml:space="preserve"> quy</w:t>
      </w:r>
      <w:r w:rsidRPr="007C791B">
        <w:t>ế</w:t>
      </w:r>
      <w:r>
        <w:t xml:space="preserve">t </w:t>
      </w:r>
      <w:r w:rsidRPr="007C791B">
        <w:t>định</w:t>
      </w:r>
      <w:r>
        <w:t xml:space="preserve"> b</w:t>
      </w:r>
      <w:r w:rsidRPr="007C791B">
        <w:t>ở</w:t>
      </w:r>
      <w:r>
        <w:t>i H</w:t>
      </w:r>
      <w:r w:rsidRPr="007C791B">
        <w:t>Đ</w:t>
      </w:r>
      <w:r>
        <w:t>QT C</w:t>
      </w:r>
      <w:r w:rsidRPr="007C791B">
        <w:t>ô</w:t>
      </w:r>
      <w:r>
        <w:t>ng ty c</w:t>
      </w:r>
      <w:r w:rsidRPr="007C791B">
        <w:t>ổ</w:t>
      </w:r>
      <w:r>
        <w:t xml:space="preserve"> ph</w:t>
      </w:r>
      <w:r w:rsidRPr="007C791B">
        <w:t>ầ</w:t>
      </w:r>
      <w:r>
        <w:t>n Bến xe Nghệ An</w:t>
      </w:r>
    </w:p>
    <w:p w:rsidR="00FC3B65" w:rsidRDefault="00FC3B65" w:rsidP="00FC3B65">
      <w:pPr>
        <w:tabs>
          <w:tab w:val="num" w:pos="1260"/>
        </w:tabs>
        <w:spacing w:before="120" w:after="120" w:line="300" w:lineRule="exact"/>
        <w:ind w:left="720"/>
        <w:jc w:val="both"/>
        <w:rPr>
          <w:iCs/>
        </w:rPr>
      </w:pPr>
      <w:r>
        <w:t>2.3</w:t>
      </w:r>
      <w:r w:rsidRPr="00B15178">
        <w:t xml:space="preserve"> Nguyên tắc làm tròn</w:t>
      </w:r>
    </w:p>
    <w:p w:rsidR="00FC3B65" w:rsidRPr="00B15178" w:rsidRDefault="00FC3B65" w:rsidP="00FC3B65">
      <w:pPr>
        <w:tabs>
          <w:tab w:val="num" w:pos="1260"/>
        </w:tabs>
        <w:spacing w:before="120" w:after="120" w:line="300" w:lineRule="exact"/>
        <w:ind w:left="720"/>
        <w:jc w:val="both"/>
        <w:rPr>
          <w:iCs/>
        </w:rPr>
      </w:pPr>
      <w:r w:rsidRPr="00B15178">
        <w:rPr>
          <w:iCs/>
        </w:rPr>
        <w:t>Số cổ phần được mua sẽ được làm tròn đến hàng chục. Trong trường hợp số cổ phần được mua có số hàng đơn vị nhỏ hơn 10 sẽ giảm xuống 0 cổ phần.</w:t>
      </w:r>
    </w:p>
    <w:p w:rsidR="00FC3B65" w:rsidRDefault="00FC3B65" w:rsidP="00FC3B65">
      <w:pPr>
        <w:tabs>
          <w:tab w:val="num" w:pos="1260"/>
        </w:tabs>
        <w:spacing w:before="120" w:after="120" w:line="300" w:lineRule="exact"/>
        <w:ind w:left="720"/>
        <w:jc w:val="both"/>
      </w:pPr>
      <w:r>
        <w:t>2.4</w:t>
      </w:r>
      <w:r w:rsidRPr="00B15178">
        <w:t xml:space="preserve"> Ph</w:t>
      </w:r>
      <w:r w:rsidRPr="00B15178">
        <w:rPr>
          <w:rFonts w:hint="eastAsia"/>
        </w:rPr>
        <w:t>ươ</w:t>
      </w:r>
      <w:r w:rsidRPr="00B15178">
        <w:t>ng án xử lý số cổ phần không bán hết</w:t>
      </w:r>
    </w:p>
    <w:p w:rsidR="00FC3B65" w:rsidRPr="00B15178" w:rsidRDefault="00FC3B65" w:rsidP="00FC3B65">
      <w:pPr>
        <w:tabs>
          <w:tab w:val="num" w:pos="1260"/>
        </w:tabs>
        <w:spacing w:before="120" w:after="120" w:line="300" w:lineRule="exact"/>
        <w:ind w:left="720"/>
        <w:jc w:val="both"/>
      </w:pPr>
      <w:r w:rsidRPr="00B15178">
        <w:t xml:space="preserve">Số cổ phần không bán hết sẽ giao cho HĐQT Công ty cổ phần </w:t>
      </w:r>
      <w:r>
        <w:t>Bến xe Nghệ An</w:t>
      </w:r>
      <w:r w:rsidRPr="00B15178">
        <w:t xml:space="preserve"> quyết định phương án xử lý.</w:t>
      </w:r>
    </w:p>
    <w:p w:rsidR="00FC3B65" w:rsidRPr="00B15178" w:rsidRDefault="00FC3B65" w:rsidP="00FC3B65">
      <w:pPr>
        <w:spacing w:after="120" w:line="300" w:lineRule="exact"/>
        <w:ind w:left="720"/>
        <w:jc w:val="both"/>
      </w:pPr>
      <w:r w:rsidRPr="00B15178">
        <w:t>Số cổ phần không bán hết bao gồm:</w:t>
      </w:r>
    </w:p>
    <w:p w:rsidR="00FC3B65" w:rsidRPr="00B15178" w:rsidRDefault="00FC3B65" w:rsidP="00FC3B65">
      <w:pPr>
        <w:numPr>
          <w:ilvl w:val="0"/>
          <w:numId w:val="2"/>
        </w:numPr>
        <w:tabs>
          <w:tab w:val="clear" w:pos="900"/>
          <w:tab w:val="num" w:pos="1080"/>
        </w:tabs>
        <w:spacing w:before="120" w:after="120" w:line="300" w:lineRule="exact"/>
        <w:ind w:left="1080"/>
        <w:jc w:val="both"/>
      </w:pPr>
      <w:r w:rsidRPr="00B15178">
        <w:t>Cổ phiếu lẻ phát sinh do việc làm tròn đến hàng chục số cổ phiếu mỗi cổ đông được đăng ký mua;</w:t>
      </w:r>
    </w:p>
    <w:p w:rsidR="00FC3B65" w:rsidRPr="00B15178" w:rsidRDefault="00FC3B65" w:rsidP="00FC3B65">
      <w:pPr>
        <w:numPr>
          <w:ilvl w:val="0"/>
          <w:numId w:val="2"/>
        </w:numPr>
        <w:tabs>
          <w:tab w:val="clear" w:pos="900"/>
          <w:tab w:val="num" w:pos="1080"/>
        </w:tabs>
        <w:spacing w:before="120" w:after="120" w:line="300" w:lineRule="exact"/>
        <w:ind w:left="1080"/>
        <w:jc w:val="both"/>
      </w:pPr>
      <w:r w:rsidRPr="00B15178">
        <w:t>Cổ phiếu không bán hết do sau thời hạn đăng ký mua cổ phiếu</w:t>
      </w:r>
      <w:r>
        <w:t>,</w:t>
      </w:r>
      <w:r w:rsidRPr="00B15178">
        <w:t xml:space="preserve"> cổ đông hiện hữu không thực hiện đăng ký mua hoặc chưa chuyển nhượng quyền mua.</w:t>
      </w:r>
    </w:p>
    <w:p w:rsidR="00FC3B65" w:rsidRPr="0058592C" w:rsidRDefault="00FC3B65" w:rsidP="00FC3B65">
      <w:pPr>
        <w:tabs>
          <w:tab w:val="left" w:pos="720"/>
        </w:tabs>
        <w:spacing w:before="240" w:after="120" w:line="300" w:lineRule="exact"/>
        <w:jc w:val="both"/>
        <w:rPr>
          <w:b/>
        </w:rPr>
      </w:pPr>
      <w:r>
        <w:rPr>
          <w:b/>
        </w:rPr>
        <w:t>3.</w:t>
      </w:r>
      <w:r>
        <w:rPr>
          <w:b/>
        </w:rPr>
        <w:tab/>
        <w:t>Vấn đề khác</w:t>
      </w:r>
    </w:p>
    <w:p w:rsidR="00FC3B65" w:rsidRDefault="00FC3B65" w:rsidP="00FC3B65">
      <w:pPr>
        <w:tabs>
          <w:tab w:val="left" w:pos="720"/>
        </w:tabs>
        <w:spacing w:after="120"/>
        <w:ind w:left="720"/>
        <w:jc w:val="both"/>
      </w:pPr>
      <w:r>
        <w:t xml:space="preserve">- Đại hội đồng cổ đông ủy quyền cho HĐQT thực hiện các thủ tục phát hành và mọi vấn đề khác liên quan đến việc phát hành tăng vốn điều lệ năm 2019 theo phương án đã được ĐHĐCĐ thông qua. </w:t>
      </w:r>
    </w:p>
    <w:p w:rsidR="00FC3B65" w:rsidRDefault="00FC3B65" w:rsidP="00FC3B65">
      <w:pPr>
        <w:tabs>
          <w:tab w:val="left" w:pos="720"/>
        </w:tabs>
        <w:spacing w:after="120"/>
        <w:ind w:left="720"/>
        <w:jc w:val="both"/>
      </w:pPr>
      <w:r>
        <w:t>- Quyết định thời điểm chốt danh sách cổ đông để thực hiện quyền, thời điểm phát hành</w:t>
      </w:r>
    </w:p>
    <w:p w:rsidR="00FC3B65" w:rsidRDefault="00FC3B65" w:rsidP="00FC3B65">
      <w:pPr>
        <w:tabs>
          <w:tab w:val="left" w:pos="720"/>
        </w:tabs>
        <w:spacing w:after="120"/>
        <w:ind w:left="720"/>
        <w:jc w:val="both"/>
      </w:pPr>
      <w:r>
        <w:t>- Thực hiện các thủ tục thay đổi Giấy chứng nhận đăng ký doanh nghiệp với Sở kế hoạch và đầu tư tỉnh Nghệ An ngay sau khi hoàn tất đợt phát hành</w:t>
      </w:r>
    </w:p>
    <w:p w:rsidR="00FC3B65" w:rsidRDefault="00FC3B65" w:rsidP="00FC3B65">
      <w:pPr>
        <w:tabs>
          <w:tab w:val="left" w:pos="720"/>
        </w:tabs>
        <w:spacing w:after="120"/>
        <w:ind w:left="720"/>
        <w:jc w:val="both"/>
      </w:pPr>
      <w:r>
        <w:t>- Chủ động sửa đổi, bổ sung Điều lệ tổ chức và hoạt động của Công ty theo quy mô vốn điều lệ mới tăng thêm và báo cáo cho ĐHĐCĐ tại cuộc họp gần nhất về kết quả đợt phát hành</w:t>
      </w:r>
    </w:p>
    <w:p w:rsidR="00FC3B65" w:rsidRDefault="00FC3B65" w:rsidP="00FC3B65">
      <w:pPr>
        <w:tabs>
          <w:tab w:val="left" w:pos="720"/>
        </w:tabs>
        <w:spacing w:after="120" w:line="300" w:lineRule="exact"/>
        <w:jc w:val="both"/>
        <w:rPr>
          <w:b/>
        </w:rPr>
      </w:pPr>
      <w:r>
        <w:rPr>
          <w:b/>
        </w:rPr>
        <w:lastRenderedPageBreak/>
        <w:t>IV.</w:t>
      </w:r>
      <w:r>
        <w:rPr>
          <w:b/>
        </w:rPr>
        <w:tab/>
        <w:t>PHƯ</w:t>
      </w:r>
      <w:r w:rsidRPr="00FA78EC">
        <w:rPr>
          <w:b/>
        </w:rPr>
        <w:t>Ơ</w:t>
      </w:r>
      <w:r>
        <w:rPr>
          <w:b/>
        </w:rPr>
        <w:t xml:space="preserve">NG </w:t>
      </w:r>
      <w:r w:rsidRPr="00FA78EC">
        <w:rPr>
          <w:b/>
        </w:rPr>
        <w:t>Á</w:t>
      </w:r>
      <w:r>
        <w:rPr>
          <w:b/>
        </w:rPr>
        <w:t>N SỬ DỤNG VỐN THU ĐƯỢC TỪ ĐỢT PHÁT HÀNH</w:t>
      </w:r>
    </w:p>
    <w:p w:rsidR="00FC3B65" w:rsidDel="00271094" w:rsidRDefault="00FC3B65" w:rsidP="00FC3B65">
      <w:pPr>
        <w:spacing w:line="312" w:lineRule="auto"/>
        <w:ind w:left="720"/>
        <w:jc w:val="both"/>
      </w:pPr>
      <w:r>
        <w:t>Nếu cổ phiếu được bán toàn bộ với mức giá dự kiến như trên, khoản tiền dự kiến thu được từ đợt phát hành sẽ là 38.468.000.000 đồng.</w:t>
      </w:r>
    </w:p>
    <w:p w:rsidR="00FC3B65" w:rsidRDefault="00FC3B65" w:rsidP="00FC3B65">
      <w:pPr>
        <w:spacing w:line="312" w:lineRule="auto"/>
        <w:ind w:left="720"/>
        <w:jc w:val="both"/>
        <w:rPr>
          <w:b/>
        </w:rPr>
      </w:pPr>
      <w:r>
        <w:t xml:space="preserve">Toàn bộ số tiền này sẽ được Công ty sử dụng để đầu tư cho dự án xây dựng mới giai đoạn 2 bến xe Bắc Vinh gồm cửa hàng xăng dầu, trung tâm đăng kiểm xe cơ giới, showroom ô tô; xây dựng bến xe Nam Vinh, trạm dừng nghỉ và khách sạn. </w:t>
      </w:r>
    </w:p>
    <w:p w:rsidR="00FC3B65" w:rsidRPr="00FF173A" w:rsidRDefault="00FC3B65" w:rsidP="00FC3B65">
      <w:pPr>
        <w:spacing w:after="240"/>
        <w:jc w:val="both"/>
      </w:pPr>
    </w:p>
    <w:tbl>
      <w:tblPr>
        <w:tblW w:w="0" w:type="auto"/>
        <w:tblInd w:w="828" w:type="dxa"/>
        <w:tblLook w:val="01E0" w:firstRow="1" w:lastRow="1" w:firstColumn="1" w:lastColumn="1" w:noHBand="0" w:noVBand="0"/>
      </w:tblPr>
      <w:tblGrid>
        <w:gridCol w:w="2191"/>
        <w:gridCol w:w="6164"/>
        <w:tblGridChange w:id="1">
          <w:tblGrid>
            <w:gridCol w:w="2191"/>
            <w:gridCol w:w="6164"/>
          </w:tblGrid>
        </w:tblGridChange>
      </w:tblGrid>
      <w:tr w:rsidR="00FC3B65" w:rsidRPr="001F62E8" w:rsidTr="00B15178">
        <w:tc>
          <w:tcPr>
            <w:tcW w:w="2252" w:type="dxa"/>
          </w:tcPr>
          <w:p w:rsidR="00FC3B65" w:rsidRPr="001F62E8" w:rsidRDefault="00FC3B65" w:rsidP="00B15178">
            <w:pPr>
              <w:spacing w:before="120" w:after="240" w:line="320" w:lineRule="exact"/>
              <w:jc w:val="both"/>
              <w:rPr>
                <w:b/>
                <w:sz w:val="22"/>
              </w:rPr>
            </w:pPr>
          </w:p>
        </w:tc>
        <w:tc>
          <w:tcPr>
            <w:tcW w:w="6319" w:type="dxa"/>
          </w:tcPr>
          <w:p w:rsidR="00FC3B65" w:rsidRPr="001F62E8" w:rsidRDefault="00FC3B65" w:rsidP="00B15178">
            <w:pPr>
              <w:spacing w:line="312" w:lineRule="auto"/>
              <w:rPr>
                <w:b/>
              </w:rPr>
            </w:pPr>
            <w:r>
              <w:rPr>
                <w:b/>
              </w:rPr>
              <w:t xml:space="preserve">                           TM.HỘI ĐỒNG QUẢN TRỊ</w:t>
            </w:r>
          </w:p>
          <w:p w:rsidR="00FC3B65" w:rsidRPr="001F62E8" w:rsidRDefault="00FC3B65" w:rsidP="00B15178">
            <w:pPr>
              <w:spacing w:line="312" w:lineRule="auto"/>
              <w:jc w:val="center"/>
              <w:rPr>
                <w:b/>
              </w:rPr>
            </w:pPr>
            <w:r w:rsidRPr="001F62E8">
              <w:rPr>
                <w:b/>
              </w:rPr>
              <w:t>CHỦ TỊCH</w:t>
            </w:r>
          </w:p>
        </w:tc>
      </w:tr>
      <w:tr w:rsidR="00FC3B65" w:rsidRPr="001F62E8" w:rsidTr="00B15178">
        <w:tc>
          <w:tcPr>
            <w:tcW w:w="2252" w:type="dxa"/>
          </w:tcPr>
          <w:p w:rsidR="00FC3B65" w:rsidRPr="001F62E8" w:rsidRDefault="00FC3B65" w:rsidP="00B15178">
            <w:pPr>
              <w:spacing w:before="120" w:after="240" w:line="320" w:lineRule="exact"/>
              <w:jc w:val="both"/>
              <w:rPr>
                <w:b/>
                <w:sz w:val="22"/>
              </w:rPr>
            </w:pPr>
          </w:p>
        </w:tc>
        <w:tc>
          <w:tcPr>
            <w:tcW w:w="6319" w:type="dxa"/>
          </w:tcPr>
          <w:p w:rsidR="00FC3B65" w:rsidDel="00271094" w:rsidRDefault="00FC3B65" w:rsidP="00B15178">
            <w:pPr>
              <w:spacing w:line="312" w:lineRule="auto"/>
              <w:rPr>
                <w:b/>
              </w:rPr>
            </w:pPr>
          </w:p>
        </w:tc>
      </w:tr>
      <w:tr w:rsidR="00FC3B65" w:rsidRPr="001F62E8" w:rsidTr="00B15178">
        <w:tc>
          <w:tcPr>
            <w:tcW w:w="2252" w:type="dxa"/>
          </w:tcPr>
          <w:p w:rsidR="00FC3B65" w:rsidRPr="001F62E8" w:rsidRDefault="00FC3B65" w:rsidP="00B15178">
            <w:pPr>
              <w:spacing w:before="120" w:after="240" w:line="320" w:lineRule="exact"/>
              <w:jc w:val="both"/>
              <w:rPr>
                <w:b/>
                <w:sz w:val="22"/>
              </w:rPr>
            </w:pPr>
          </w:p>
        </w:tc>
        <w:tc>
          <w:tcPr>
            <w:tcW w:w="6319" w:type="dxa"/>
          </w:tcPr>
          <w:p w:rsidR="00FC3B65" w:rsidDel="00271094" w:rsidRDefault="00FC3B65" w:rsidP="00B15178">
            <w:pPr>
              <w:spacing w:line="312" w:lineRule="auto"/>
              <w:rPr>
                <w:b/>
              </w:rPr>
            </w:pPr>
          </w:p>
        </w:tc>
      </w:tr>
    </w:tbl>
    <w:p w:rsidR="00FC3B65" w:rsidRPr="00B15178" w:rsidRDefault="00FC3B65" w:rsidP="00FC3B65">
      <w:pPr>
        <w:spacing w:after="240"/>
        <w:jc w:val="both"/>
        <w:rPr>
          <w:b/>
        </w:rPr>
      </w:pPr>
      <w:r>
        <w:tab/>
      </w:r>
      <w:r>
        <w:tab/>
      </w:r>
      <w:r>
        <w:tab/>
      </w:r>
      <w:r>
        <w:tab/>
      </w:r>
      <w:r>
        <w:tab/>
      </w:r>
      <w:r>
        <w:tab/>
      </w:r>
      <w:r>
        <w:tab/>
        <w:t xml:space="preserve">        </w:t>
      </w:r>
      <w:r w:rsidRPr="00B15178">
        <w:rPr>
          <w:b/>
        </w:rPr>
        <w:t>VŨ PHI HỔ</w:t>
      </w:r>
    </w:p>
    <w:p w:rsidR="00840AD6" w:rsidRDefault="00840AD6">
      <w:bookmarkStart w:id="2" w:name="_GoBack"/>
      <w:bookmarkEnd w:id="2"/>
    </w:p>
    <w:sectPr w:rsidR="00840AD6" w:rsidSect="00B15178">
      <w:headerReference w:type="default" r:id="rId5"/>
      <w:footerReference w:type="even" r:id="rId6"/>
      <w:footerReference w:type="default" r:id="rId7"/>
      <w:footnotePr>
        <w:numFmt w:val="lowerLetter"/>
      </w:footnotePr>
      <w:pgSz w:w="12240" w:h="15840"/>
      <w:pgMar w:top="1440" w:right="1260" w:bottom="900" w:left="1797"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02" w:rsidRDefault="00FC3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C02" w:rsidRDefault="00FC3B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02" w:rsidRPr="00121039" w:rsidRDefault="00FC3B65">
    <w:pPr>
      <w:pStyle w:val="Footer"/>
      <w:framePr w:wrap="around" w:vAnchor="text" w:hAnchor="margin" w:xAlign="right" w:y="1"/>
      <w:rPr>
        <w:rStyle w:val="PageNumber"/>
        <w:sz w:val="20"/>
        <w:szCs w:val="20"/>
      </w:rPr>
    </w:pPr>
    <w:r w:rsidRPr="00121039">
      <w:rPr>
        <w:rStyle w:val="PageNumber"/>
        <w:sz w:val="20"/>
        <w:szCs w:val="20"/>
      </w:rPr>
      <w:fldChar w:fldCharType="begin"/>
    </w:r>
    <w:r w:rsidRPr="00121039">
      <w:rPr>
        <w:rStyle w:val="PageNumber"/>
        <w:sz w:val="20"/>
        <w:szCs w:val="20"/>
      </w:rPr>
      <w:instrText xml:space="preserve">PAGE  </w:instrText>
    </w:r>
    <w:r w:rsidRPr="00121039">
      <w:rPr>
        <w:rStyle w:val="PageNumber"/>
        <w:sz w:val="20"/>
        <w:szCs w:val="20"/>
      </w:rPr>
      <w:fldChar w:fldCharType="separate"/>
    </w:r>
    <w:r>
      <w:rPr>
        <w:rStyle w:val="PageNumber"/>
        <w:noProof/>
        <w:sz w:val="20"/>
        <w:szCs w:val="20"/>
      </w:rPr>
      <w:t>3</w:t>
    </w:r>
    <w:r w:rsidRPr="00121039">
      <w:rPr>
        <w:rStyle w:val="PageNumber"/>
        <w:sz w:val="20"/>
        <w:szCs w:val="20"/>
      </w:rPr>
      <w:fldChar w:fldCharType="end"/>
    </w:r>
    <w:r w:rsidRPr="00121039">
      <w:rPr>
        <w:rStyle w:val="PageNumber"/>
        <w:sz w:val="20"/>
        <w:szCs w:val="20"/>
      </w:rPr>
      <w:t>/</w:t>
    </w:r>
    <w:r w:rsidRPr="00121039">
      <w:rPr>
        <w:rStyle w:val="PageNumber"/>
        <w:sz w:val="20"/>
        <w:szCs w:val="20"/>
      </w:rPr>
      <w:fldChar w:fldCharType="begin"/>
    </w:r>
    <w:r w:rsidRPr="00121039">
      <w:rPr>
        <w:rStyle w:val="PageNumber"/>
        <w:sz w:val="20"/>
        <w:szCs w:val="20"/>
      </w:rPr>
      <w:instrText xml:space="preserve"> NUMPAGES </w:instrText>
    </w:r>
    <w:r w:rsidRPr="00121039">
      <w:rPr>
        <w:rStyle w:val="PageNumber"/>
        <w:sz w:val="20"/>
        <w:szCs w:val="20"/>
      </w:rPr>
      <w:fldChar w:fldCharType="separate"/>
    </w:r>
    <w:r>
      <w:rPr>
        <w:rStyle w:val="PageNumber"/>
        <w:noProof/>
        <w:sz w:val="20"/>
        <w:szCs w:val="20"/>
      </w:rPr>
      <w:t>5</w:t>
    </w:r>
    <w:r w:rsidRPr="00121039">
      <w:rPr>
        <w:rStyle w:val="PageNumber"/>
        <w:sz w:val="20"/>
        <w:szCs w:val="20"/>
      </w:rPr>
      <w:fldChar w:fldCharType="end"/>
    </w:r>
  </w:p>
  <w:p w:rsidR="00330C02" w:rsidRDefault="00FC3B65">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40" w:type="dxa"/>
      <w:tblInd w:w="3311" w:type="dxa"/>
      <w:tblLayout w:type="fixed"/>
      <w:tblCellMar>
        <w:left w:w="71" w:type="dxa"/>
        <w:right w:w="71" w:type="dxa"/>
      </w:tblCellMar>
      <w:tblLook w:val="0000" w:firstRow="0" w:lastRow="0" w:firstColumn="0" w:lastColumn="0" w:noHBand="0" w:noVBand="0"/>
    </w:tblPr>
    <w:tblGrid>
      <w:gridCol w:w="5940"/>
    </w:tblGrid>
    <w:tr w:rsidR="00330C02" w:rsidTr="00B15178">
      <w:tblPrEx>
        <w:tblCellMar>
          <w:top w:w="0" w:type="dxa"/>
          <w:bottom w:w="0" w:type="dxa"/>
        </w:tblCellMar>
      </w:tblPrEx>
      <w:tc>
        <w:tcPr>
          <w:tcW w:w="5940" w:type="dxa"/>
        </w:tcPr>
        <w:p w:rsidR="00330C02" w:rsidRDefault="00FC3B65">
          <w:pPr>
            <w:pStyle w:val="Header"/>
            <w:tabs>
              <w:tab w:val="clear" w:pos="4320"/>
              <w:tab w:val="center" w:pos="4618"/>
            </w:tabs>
            <w:jc w:val="right"/>
            <w:rPr>
              <w:b/>
              <w:i/>
              <w:sz w:val="20"/>
            </w:rPr>
          </w:pPr>
          <w:r>
            <w:rPr>
              <w:b/>
              <w:i/>
              <w:sz w:val="20"/>
            </w:rPr>
            <w:t>Công ty Cổ phần</w:t>
          </w:r>
          <w:r>
            <w:rPr>
              <w:b/>
              <w:i/>
              <w:sz w:val="20"/>
            </w:rPr>
            <w:t xml:space="preserve"> </w:t>
          </w:r>
          <w:r>
            <w:rPr>
              <w:b/>
              <w:i/>
              <w:sz w:val="20"/>
            </w:rPr>
            <w:t>Bến</w:t>
          </w:r>
          <w:r>
            <w:rPr>
              <w:b/>
              <w:i/>
              <w:sz w:val="20"/>
            </w:rPr>
            <w:t xml:space="preserve"> xe Nghệ An</w:t>
          </w:r>
        </w:p>
      </w:tc>
    </w:tr>
    <w:tr w:rsidR="00330C02" w:rsidTr="00B15178">
      <w:tblPrEx>
        <w:tblCellMar>
          <w:top w:w="0" w:type="dxa"/>
          <w:bottom w:w="0" w:type="dxa"/>
        </w:tblCellMar>
      </w:tblPrEx>
      <w:tc>
        <w:tcPr>
          <w:tcW w:w="5940" w:type="dxa"/>
        </w:tcPr>
        <w:p w:rsidR="00330C02" w:rsidRDefault="00FC3B65" w:rsidP="005C7B14">
          <w:pPr>
            <w:pStyle w:val="Header"/>
            <w:jc w:val="right"/>
            <w:rPr>
              <w:i/>
              <w:sz w:val="20"/>
            </w:rPr>
          </w:pPr>
          <w:r>
            <w:rPr>
              <w:i/>
              <w:sz w:val="20"/>
            </w:rPr>
            <w:t>Phương án phát hành cổ phiếu</w:t>
          </w:r>
          <w:r>
            <w:rPr>
              <w:i/>
              <w:sz w:val="20"/>
            </w:rPr>
            <w:t xml:space="preserve"> </w:t>
          </w:r>
          <w:r>
            <w:rPr>
              <w:i/>
              <w:sz w:val="20"/>
            </w:rPr>
            <w:t xml:space="preserve"> tăng vốn điều lệ năm 20</w:t>
          </w:r>
          <w:r>
            <w:rPr>
              <w:i/>
              <w:sz w:val="20"/>
            </w:rPr>
            <w:t>19</w:t>
          </w:r>
        </w:p>
      </w:tc>
    </w:tr>
    <w:tr w:rsidR="00330C02" w:rsidTr="00B15178">
      <w:tblPrEx>
        <w:tblCellMar>
          <w:top w:w="0" w:type="dxa"/>
          <w:bottom w:w="0" w:type="dxa"/>
        </w:tblCellMar>
      </w:tblPrEx>
      <w:tc>
        <w:tcPr>
          <w:tcW w:w="5940" w:type="dxa"/>
        </w:tcPr>
        <w:p w:rsidR="00330C02" w:rsidRDefault="00FC3B65">
          <w:pPr>
            <w:pStyle w:val="Header"/>
            <w:jc w:val="right"/>
            <w:rPr>
              <w:i/>
              <w:sz w:val="20"/>
            </w:rPr>
          </w:pPr>
          <w:r>
            <w:rPr>
              <w:i/>
              <w:sz w:val="20"/>
            </w:rPr>
            <w:fldChar w:fldCharType="begin"/>
          </w:r>
          <w:r>
            <w:rPr>
              <w:i/>
              <w:sz w:val="20"/>
            </w:rPr>
            <w:instrText xml:space="preserve"> TIME  \@ "dd/MM/yyyy" </w:instrText>
          </w:r>
          <w:r>
            <w:rPr>
              <w:i/>
              <w:sz w:val="20"/>
            </w:rPr>
            <w:fldChar w:fldCharType="separate"/>
          </w:r>
          <w:r>
            <w:rPr>
              <w:i/>
              <w:noProof/>
              <w:sz w:val="20"/>
            </w:rPr>
            <w:t>06/06/2019</w:t>
          </w:r>
          <w:r>
            <w:rPr>
              <w:i/>
              <w:sz w:val="20"/>
            </w:rPr>
            <w:fldChar w:fldCharType="end"/>
          </w:r>
        </w:p>
      </w:tc>
    </w:tr>
  </w:tbl>
  <w:p w:rsidR="00330C02" w:rsidRDefault="00FC3B65">
    <w:pPr>
      <w:pStyle w:val="Header"/>
      <w:tabs>
        <w:tab w:val="clear" w:pos="8640"/>
        <w:tab w:val="righ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7540E"/>
    <w:multiLevelType w:val="hybridMultilevel"/>
    <w:tmpl w:val="DC1CBA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AE67A1"/>
    <w:multiLevelType w:val="hybridMultilevel"/>
    <w:tmpl w:val="A7004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E08E8"/>
    <w:multiLevelType w:val="hybridMultilevel"/>
    <w:tmpl w:val="C50849A6"/>
    <w:lvl w:ilvl="0" w:tplc="DC3EDA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numFmt w:val="lowerLetter"/>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65"/>
    <w:rsid w:val="007466FD"/>
    <w:rsid w:val="00840AD6"/>
    <w:rsid w:val="00FC3B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28ABA2D-EF98-4706-B8A0-4006B183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B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3B65"/>
    <w:pPr>
      <w:jc w:val="both"/>
    </w:pPr>
    <w:rPr>
      <w:rFonts w:ascii=".VnTime" w:hAnsi=".VnTime"/>
      <w:sz w:val="26"/>
      <w:szCs w:val="20"/>
      <w:lang w:eastAsia="en-AU"/>
    </w:rPr>
  </w:style>
  <w:style w:type="character" w:customStyle="1" w:styleId="BodyTextChar">
    <w:name w:val="Body Text Char"/>
    <w:basedOn w:val="DefaultParagraphFont"/>
    <w:link w:val="BodyText"/>
    <w:rsid w:val="00FC3B65"/>
    <w:rPr>
      <w:rFonts w:ascii=".VnTime" w:eastAsia="Times New Roman" w:hAnsi=".VnTime" w:cs="Times New Roman"/>
      <w:sz w:val="26"/>
      <w:szCs w:val="20"/>
      <w:lang w:val="en-US" w:eastAsia="en-AU"/>
    </w:rPr>
  </w:style>
  <w:style w:type="character" w:customStyle="1" w:styleId="normal1">
    <w:name w:val="normal1"/>
    <w:rsid w:val="00FC3B65"/>
    <w:rPr>
      <w:rFonts w:ascii="Arial" w:hAnsi="Arial" w:cs="Arial" w:hint="default"/>
      <w:b w:val="0"/>
      <w:bCs w:val="0"/>
      <w:sz w:val="18"/>
      <w:szCs w:val="18"/>
    </w:rPr>
  </w:style>
  <w:style w:type="paragraph" w:styleId="Footer">
    <w:name w:val="footer"/>
    <w:basedOn w:val="Normal"/>
    <w:link w:val="FooterChar"/>
    <w:rsid w:val="00FC3B65"/>
    <w:pPr>
      <w:tabs>
        <w:tab w:val="center" w:pos="4320"/>
        <w:tab w:val="right" w:pos="8640"/>
      </w:tabs>
    </w:pPr>
  </w:style>
  <w:style w:type="character" w:customStyle="1" w:styleId="FooterChar">
    <w:name w:val="Footer Char"/>
    <w:basedOn w:val="DefaultParagraphFont"/>
    <w:link w:val="Footer"/>
    <w:rsid w:val="00FC3B65"/>
    <w:rPr>
      <w:rFonts w:ascii="Times New Roman" w:eastAsia="Times New Roman" w:hAnsi="Times New Roman" w:cs="Times New Roman"/>
      <w:sz w:val="24"/>
      <w:szCs w:val="24"/>
      <w:lang w:val="en-US"/>
    </w:rPr>
  </w:style>
  <w:style w:type="character" w:styleId="PageNumber">
    <w:name w:val="page number"/>
    <w:basedOn w:val="DefaultParagraphFont"/>
    <w:rsid w:val="00FC3B65"/>
  </w:style>
  <w:style w:type="paragraph" w:styleId="Header">
    <w:name w:val="header"/>
    <w:basedOn w:val="Normal"/>
    <w:link w:val="HeaderChar"/>
    <w:rsid w:val="00FC3B65"/>
    <w:pPr>
      <w:tabs>
        <w:tab w:val="center" w:pos="4320"/>
        <w:tab w:val="right" w:pos="8640"/>
      </w:tabs>
    </w:pPr>
  </w:style>
  <w:style w:type="character" w:customStyle="1" w:styleId="HeaderChar">
    <w:name w:val="Header Char"/>
    <w:basedOn w:val="DefaultParagraphFont"/>
    <w:link w:val="Header"/>
    <w:rsid w:val="00FC3B6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Nhu</dc:creator>
  <cp:keywords/>
  <dc:description/>
  <cp:lastModifiedBy>Do Thi Hai Nhu</cp:lastModifiedBy>
  <cp:revision>1</cp:revision>
  <dcterms:created xsi:type="dcterms:W3CDTF">2019-06-06T06:57:00Z</dcterms:created>
  <dcterms:modified xsi:type="dcterms:W3CDTF">2019-06-06T06:58:00Z</dcterms:modified>
</cp:coreProperties>
</file>